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40132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5102418C">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5E997465">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13.030.</w:t>
            </w:r>
            <w:r>
              <w:rPr>
                <w:rFonts w:hint="eastAsia" w:ascii="黑体" w:hAnsi="黑体" w:eastAsia="黑体"/>
                <w:sz w:val="21"/>
                <w:szCs w:val="21"/>
              </w:rPr>
              <w:t>01</w:t>
            </w:r>
            <w:r>
              <w:rPr>
                <w:rFonts w:ascii="黑体" w:hAnsi="黑体" w:eastAsia="黑体"/>
                <w:sz w:val="21"/>
                <w:szCs w:val="21"/>
              </w:rPr>
              <w:fldChar w:fldCharType="end"/>
            </w:r>
            <w:bookmarkEnd w:id="0"/>
          </w:p>
        </w:tc>
      </w:tr>
      <w:tr w14:paraId="5ED77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AB3DD7B">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21449366">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Z05</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1A1A984A">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09F5145B">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42</w:t>
            </w:r>
            <w:r>
              <w:fldChar w:fldCharType="end"/>
            </w:r>
            <w:bookmarkEnd w:id="3"/>
          </w:p>
        </w:tc>
      </w:tr>
    </w:tbl>
    <w:p w14:paraId="09510F53">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湖北省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05C59EB9">
      <w:pPr>
        <w:pStyle w:val="195"/>
        <w:framePr/>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42/T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0966E232">
      <w:pPr>
        <w:pStyle w:val="196"/>
        <w:framePr/>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4B005A7A">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79BCAA4">
      <w:pPr>
        <w:pStyle w:val="50"/>
        <w:framePr w:w="9639" w:h="6976" w:hRule="exact" w:hSpace="0" w:vSpace="0" w:wrap="around" w:hAnchor="page" w:y="6408"/>
        <w:jc w:val="center"/>
        <w:rPr>
          <w:rFonts w:ascii="黑体" w:hAnsi="黑体" w:eastAsia="黑体"/>
          <w:b w:val="0"/>
          <w:bCs w:val="0"/>
          <w:w w:val="100"/>
        </w:rPr>
      </w:pPr>
    </w:p>
    <w:p w14:paraId="5EB9EAFD">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危险废物利用处置污染控制技术规范</w:t>
      </w:r>
      <w:r>
        <w:t xml:space="preserve"> 第4部分:含有色金属固体废物</w:t>
      </w:r>
      <w:r>
        <w:fldChar w:fldCharType="end"/>
      </w:r>
      <w:bookmarkEnd w:id="9"/>
    </w:p>
    <w:p w14:paraId="1D78DDF4">
      <w:pPr>
        <w:framePr w:w="9639" w:h="6974" w:hRule="exact" w:wrap="around" w:vAnchor="page" w:hAnchor="page" w:x="1419" w:y="6408" w:anchorLock="1"/>
        <w:ind w:left="-1418"/>
      </w:pPr>
    </w:p>
    <w:p w14:paraId="40E79EA6">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Technical specifications for Pollution Control of Hazardous Waste Utilization and Disposal</w:t>
      </w:r>
    </w:p>
    <w:p w14:paraId="10BE2B50">
      <w:pPr>
        <w:pStyle w:val="125"/>
        <w:framePr w:w="9639" w:h="6974" w:hRule="exact" w:wrap="around" w:vAnchor="page" w:hAnchor="page" w:x="1419" w:y="6408" w:anchorLock="1"/>
        <w:textAlignment w:val="bottom"/>
        <w:rPr>
          <w:rFonts w:eastAsia="黑体"/>
          <w:szCs w:val="28"/>
        </w:rPr>
      </w:pPr>
      <w:r>
        <w:rPr>
          <w:rFonts w:eastAsia="黑体"/>
          <w:szCs w:val="28"/>
        </w:rPr>
        <w:t>Part 4 Solid waste containing non-ferrous metals</w:t>
      </w:r>
      <w:r>
        <w:rPr>
          <w:rFonts w:eastAsia="黑体"/>
          <w:szCs w:val="28"/>
        </w:rPr>
        <w:fldChar w:fldCharType="end"/>
      </w:r>
      <w:bookmarkEnd w:id="10"/>
    </w:p>
    <w:p w14:paraId="6A9049D7">
      <w:pPr>
        <w:framePr w:w="9639" w:h="6974" w:hRule="exact" w:wrap="around" w:vAnchor="page" w:hAnchor="page" w:x="1419" w:y="6408" w:anchorLock="1"/>
        <w:spacing w:line="760" w:lineRule="exact"/>
        <w:ind w:left="-1418"/>
      </w:pPr>
    </w:p>
    <w:p w14:paraId="3C6DBCA2">
      <w:pPr>
        <w:pStyle w:val="125"/>
        <w:framePr w:w="9639" w:h="6974" w:hRule="exact" w:wrap="around" w:vAnchor="page" w:hAnchor="page" w:x="1419" w:y="6408" w:anchorLock="1"/>
        <w:textAlignment w:val="bottom"/>
        <w:rPr>
          <w:rFonts w:eastAsia="黑体"/>
          <w:szCs w:val="28"/>
        </w:rPr>
      </w:pPr>
    </w:p>
    <w:p w14:paraId="58EA7289">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2"/>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3538C9E3">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5EA5D451">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1ACF12E0">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1513E0FD">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36AAF392">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574F0194">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CFC66EE">
      <w:pPr>
        <w:pStyle w:val="91"/>
        <w:spacing w:after="468"/>
      </w:pPr>
      <w:bookmarkStart w:id="21" w:name="BookMark1"/>
      <w:r>
        <w:rPr>
          <w:rFonts w:hint="eastAsia"/>
          <w:spacing w:val="320"/>
        </w:rPr>
        <w:t>目</w:t>
      </w:r>
      <w:r>
        <w:rPr>
          <w:rFonts w:hint="eastAsia"/>
        </w:rPr>
        <w:t>次</w:t>
      </w:r>
    </w:p>
    <w:p w14:paraId="4A057BF9">
      <w:pPr>
        <w:pStyle w:val="19"/>
        <w:tabs>
          <w:tab w:val="right" w:leader="dot" w:pos="9344"/>
        </w:tabs>
        <w:rPr>
          <w:rFonts w:ascii="Times New Roman" w:hAnsi="Times New Roman" w:eastAsiaTheme="minorEastAsia"/>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"_Toc170304490" </w:instrText>
      </w:r>
      <w:r>
        <w:fldChar w:fldCharType="separate"/>
      </w:r>
      <w:r>
        <w:rPr>
          <w:rStyle w:val="32"/>
          <w:rFonts w:ascii="Times New Roman"/>
          <w:spacing w:val="320"/>
        </w:rPr>
        <w:t>前</w:t>
      </w:r>
      <w:r>
        <w:rPr>
          <w:rStyle w:val="32"/>
          <w:rFonts w:ascii="Times New Roman"/>
        </w:rPr>
        <w:t>言</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_Toc170304490 \h </w:instrText>
      </w:r>
      <w:r>
        <w:rPr>
          <w:rFonts w:ascii="Times New Roman" w:hAnsi="Times New Roman"/>
        </w:rPr>
        <w:fldChar w:fldCharType="separate"/>
      </w:r>
      <w:r>
        <w:rPr>
          <w:rFonts w:ascii="Times New Roman" w:hAnsi="Times New Roman"/>
        </w:rPr>
        <w:t>II</w:t>
      </w:r>
      <w:r>
        <w:rPr>
          <w:rFonts w:ascii="Times New Roman" w:hAnsi="Times New Roman"/>
        </w:rPr>
        <w:fldChar w:fldCharType="end"/>
      </w:r>
      <w:r>
        <w:rPr>
          <w:rFonts w:ascii="Times New Roman" w:hAnsi="Times New Roman"/>
        </w:rPr>
        <w:fldChar w:fldCharType="end"/>
      </w:r>
    </w:p>
    <w:p w14:paraId="4F71CC2F">
      <w:pPr>
        <w:pStyle w:val="19"/>
        <w:tabs>
          <w:tab w:val="right" w:leader="dot" w:pos="9344"/>
        </w:tabs>
        <w:rPr>
          <w:rFonts w:ascii="Times New Roman" w:hAnsi="Times New Roman" w:eastAsiaTheme="minorEastAsia"/>
          <w:szCs w:val="22"/>
        </w:rPr>
      </w:pPr>
      <w:r>
        <w:fldChar w:fldCharType="begin"/>
      </w:r>
      <w:r>
        <w:instrText xml:space="preserve"> HYPERLINK \l "_Toc170304491" </w:instrText>
      </w:r>
      <w:r>
        <w:fldChar w:fldCharType="separate"/>
      </w:r>
      <w:r>
        <w:rPr>
          <w:rStyle w:val="32"/>
          <w:rFonts w:ascii="Times New Roman"/>
        </w:rPr>
        <w:t>1 范围</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_Toc170304491 \h </w:instrText>
      </w:r>
      <w:r>
        <w:rPr>
          <w:rFonts w:ascii="Times New Roman" w:hAnsi="Times New Roman"/>
        </w:rPr>
        <w:fldChar w:fldCharType="separate"/>
      </w:r>
      <w:r>
        <w:rPr>
          <w:rFonts w:ascii="Times New Roman" w:hAnsi="Times New Roman"/>
        </w:rPr>
        <w:t>3</w:t>
      </w:r>
      <w:r>
        <w:rPr>
          <w:rFonts w:ascii="Times New Roman" w:hAnsi="Times New Roman"/>
        </w:rPr>
        <w:fldChar w:fldCharType="end"/>
      </w:r>
      <w:r>
        <w:rPr>
          <w:rFonts w:ascii="Times New Roman" w:hAnsi="Times New Roman"/>
        </w:rPr>
        <w:fldChar w:fldCharType="end"/>
      </w:r>
    </w:p>
    <w:p w14:paraId="5BB300E9">
      <w:pPr>
        <w:pStyle w:val="19"/>
        <w:tabs>
          <w:tab w:val="right" w:leader="dot" w:pos="9344"/>
        </w:tabs>
        <w:rPr>
          <w:rFonts w:ascii="Times New Roman" w:hAnsi="Times New Roman" w:eastAsiaTheme="minorEastAsia"/>
          <w:szCs w:val="22"/>
        </w:rPr>
      </w:pPr>
      <w:r>
        <w:fldChar w:fldCharType="begin"/>
      </w:r>
      <w:r>
        <w:instrText xml:space="preserve"> HYPERLINK \l "_Toc170304492" </w:instrText>
      </w:r>
      <w:r>
        <w:fldChar w:fldCharType="separate"/>
      </w:r>
      <w:r>
        <w:rPr>
          <w:rStyle w:val="32"/>
          <w:rFonts w:ascii="Times New Roman"/>
        </w:rPr>
        <w:t>2 规范性引用文件</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_Toc170304492 \h </w:instrText>
      </w:r>
      <w:r>
        <w:rPr>
          <w:rFonts w:ascii="Times New Roman" w:hAnsi="Times New Roman"/>
        </w:rPr>
        <w:fldChar w:fldCharType="separate"/>
      </w:r>
      <w:r>
        <w:rPr>
          <w:rFonts w:ascii="Times New Roman" w:hAnsi="Times New Roman"/>
        </w:rPr>
        <w:t>3</w:t>
      </w:r>
      <w:r>
        <w:rPr>
          <w:rFonts w:ascii="Times New Roman" w:hAnsi="Times New Roman"/>
        </w:rPr>
        <w:fldChar w:fldCharType="end"/>
      </w:r>
      <w:r>
        <w:rPr>
          <w:rFonts w:ascii="Times New Roman" w:hAnsi="Times New Roman"/>
        </w:rPr>
        <w:fldChar w:fldCharType="end"/>
      </w:r>
    </w:p>
    <w:p w14:paraId="7D36E2AD">
      <w:pPr>
        <w:pStyle w:val="19"/>
        <w:tabs>
          <w:tab w:val="right" w:leader="dot" w:pos="9344"/>
        </w:tabs>
        <w:rPr>
          <w:rFonts w:ascii="Times New Roman" w:hAnsi="Times New Roman" w:eastAsiaTheme="minorEastAsia"/>
          <w:szCs w:val="22"/>
        </w:rPr>
      </w:pPr>
      <w:r>
        <w:fldChar w:fldCharType="begin"/>
      </w:r>
      <w:r>
        <w:instrText xml:space="preserve"> HYPERLINK \l "_Toc170304493" </w:instrText>
      </w:r>
      <w:r>
        <w:fldChar w:fldCharType="separate"/>
      </w:r>
      <w:r>
        <w:rPr>
          <w:rStyle w:val="32"/>
          <w:rFonts w:ascii="Times New Roman"/>
        </w:rPr>
        <w:t>3 术语和定义</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_Toc170304493 \h </w:instrText>
      </w:r>
      <w:r>
        <w:rPr>
          <w:rFonts w:ascii="Times New Roman" w:hAnsi="Times New Roman"/>
        </w:rPr>
        <w:fldChar w:fldCharType="separate"/>
      </w:r>
      <w:r>
        <w:rPr>
          <w:rFonts w:ascii="Times New Roman" w:hAnsi="Times New Roman"/>
        </w:rPr>
        <w:t>4</w:t>
      </w:r>
      <w:r>
        <w:rPr>
          <w:rFonts w:ascii="Times New Roman" w:hAnsi="Times New Roman"/>
        </w:rPr>
        <w:fldChar w:fldCharType="end"/>
      </w:r>
      <w:r>
        <w:rPr>
          <w:rFonts w:ascii="Times New Roman" w:hAnsi="Times New Roman"/>
        </w:rPr>
        <w:fldChar w:fldCharType="end"/>
      </w:r>
    </w:p>
    <w:p w14:paraId="3DA3069A">
      <w:pPr>
        <w:pStyle w:val="19"/>
        <w:tabs>
          <w:tab w:val="right" w:leader="dot" w:pos="9344"/>
        </w:tabs>
        <w:rPr>
          <w:rFonts w:ascii="Times New Roman" w:hAnsi="Times New Roman" w:eastAsiaTheme="minorEastAsia"/>
          <w:szCs w:val="22"/>
        </w:rPr>
      </w:pPr>
      <w:r>
        <w:fldChar w:fldCharType="begin"/>
      </w:r>
      <w:r>
        <w:instrText xml:space="preserve"> HYPERLINK \l "_Toc170304494" </w:instrText>
      </w:r>
      <w:r>
        <w:fldChar w:fldCharType="separate"/>
      </w:r>
      <w:r>
        <w:rPr>
          <w:rStyle w:val="32"/>
          <w:rFonts w:ascii="Times New Roman"/>
        </w:rPr>
        <w:t>4 总体要求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_Toc170304494 \h </w:instrText>
      </w:r>
      <w:r>
        <w:rPr>
          <w:rFonts w:ascii="Times New Roman" w:hAnsi="Times New Roman"/>
        </w:rPr>
        <w:fldChar w:fldCharType="separate"/>
      </w:r>
      <w:r>
        <w:rPr>
          <w:rFonts w:ascii="Times New Roman" w:hAnsi="Times New Roman"/>
        </w:rPr>
        <w:t>4</w:t>
      </w:r>
      <w:r>
        <w:rPr>
          <w:rFonts w:ascii="Times New Roman" w:hAnsi="Times New Roman"/>
        </w:rPr>
        <w:fldChar w:fldCharType="end"/>
      </w:r>
      <w:r>
        <w:rPr>
          <w:rFonts w:ascii="Times New Roman" w:hAnsi="Times New Roman"/>
        </w:rPr>
        <w:fldChar w:fldCharType="end"/>
      </w:r>
    </w:p>
    <w:p w14:paraId="3241103F">
      <w:pPr>
        <w:pStyle w:val="19"/>
        <w:tabs>
          <w:tab w:val="right" w:leader="dot" w:pos="9344"/>
        </w:tabs>
        <w:rPr>
          <w:rFonts w:ascii="Times New Roman" w:hAnsi="Times New Roman" w:eastAsiaTheme="minorEastAsia"/>
          <w:szCs w:val="22"/>
        </w:rPr>
      </w:pPr>
      <w:r>
        <w:fldChar w:fldCharType="begin"/>
      </w:r>
      <w:r>
        <w:instrText xml:space="preserve"> HYPERLINK \l "_Toc170304495" </w:instrText>
      </w:r>
      <w:r>
        <w:fldChar w:fldCharType="separate"/>
      </w:r>
      <w:r>
        <w:rPr>
          <w:rStyle w:val="32"/>
          <w:rFonts w:ascii="Times New Roman"/>
        </w:rPr>
        <w:t>5 入场分析</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_Toc170304495 \h </w:instrText>
      </w:r>
      <w:r>
        <w:rPr>
          <w:rFonts w:ascii="Times New Roman" w:hAnsi="Times New Roman"/>
        </w:rPr>
        <w:fldChar w:fldCharType="separate"/>
      </w:r>
      <w:r>
        <w:rPr>
          <w:rFonts w:ascii="Times New Roman" w:hAnsi="Times New Roman"/>
        </w:rPr>
        <w:t>4</w:t>
      </w:r>
      <w:r>
        <w:rPr>
          <w:rFonts w:ascii="Times New Roman" w:hAnsi="Times New Roman"/>
        </w:rPr>
        <w:fldChar w:fldCharType="end"/>
      </w:r>
      <w:r>
        <w:rPr>
          <w:rFonts w:ascii="Times New Roman" w:hAnsi="Times New Roman"/>
        </w:rPr>
        <w:fldChar w:fldCharType="end"/>
      </w:r>
    </w:p>
    <w:p w14:paraId="0519139D">
      <w:pPr>
        <w:pStyle w:val="19"/>
        <w:tabs>
          <w:tab w:val="right" w:leader="dot" w:pos="9344"/>
        </w:tabs>
        <w:rPr>
          <w:rFonts w:ascii="Times New Roman" w:hAnsi="Times New Roman" w:eastAsiaTheme="minorEastAsia"/>
          <w:szCs w:val="22"/>
        </w:rPr>
      </w:pPr>
      <w:r>
        <w:fldChar w:fldCharType="begin"/>
      </w:r>
      <w:r>
        <w:instrText xml:space="preserve"> HYPERLINK \l "_Toc170304496" </w:instrText>
      </w:r>
      <w:r>
        <w:fldChar w:fldCharType="separate"/>
      </w:r>
      <w:r>
        <w:rPr>
          <w:rStyle w:val="32"/>
          <w:rFonts w:ascii="Times New Roman"/>
        </w:rPr>
        <w:t>6 贮存</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_Toc170304496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2E120F88">
      <w:pPr>
        <w:pStyle w:val="19"/>
        <w:tabs>
          <w:tab w:val="right" w:leader="dot" w:pos="9344"/>
        </w:tabs>
        <w:rPr>
          <w:rFonts w:ascii="Times New Roman" w:hAnsi="Times New Roman" w:eastAsiaTheme="minorEastAsia"/>
          <w:szCs w:val="22"/>
        </w:rPr>
      </w:pPr>
      <w:r>
        <w:fldChar w:fldCharType="begin"/>
      </w:r>
      <w:r>
        <w:instrText xml:space="preserve"> HYPERLINK \l "_Toc170304497" </w:instrText>
      </w:r>
      <w:r>
        <w:fldChar w:fldCharType="separate"/>
      </w:r>
      <w:r>
        <w:rPr>
          <w:rStyle w:val="32"/>
          <w:rFonts w:ascii="Times New Roman"/>
        </w:rPr>
        <w:t>7 工艺过程</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_Toc170304497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05EA8F4E">
      <w:pPr>
        <w:pStyle w:val="24"/>
        <w:rPr>
          <w:rFonts w:ascii="Times New Roman" w:hAnsi="Times New Roman" w:eastAsiaTheme="minorEastAsia"/>
          <w:szCs w:val="22"/>
        </w:rPr>
      </w:pPr>
      <w:r>
        <w:fldChar w:fldCharType="begin"/>
      </w:r>
      <w:r>
        <w:instrText xml:space="preserve"> HYPERLINK \l "_Toc170304498" </w:instrText>
      </w:r>
      <w:r>
        <w:fldChar w:fldCharType="separate"/>
      </w:r>
      <w:r>
        <w:rPr>
          <w:rStyle w:val="32"/>
          <w:rFonts w:ascii="Times New Roman"/>
          <w14:scene3d w14:prst="orthographicFront">
            <w14:lightRig w14:rig="threePt" w14:dir="t">
              <w14:rot w14:lat="0" w14:lon="0" w14:rev="0"/>
            </w14:lightRig>
          </w14:scene3d>
        </w:rPr>
        <w:t>7.1</w:t>
      </w:r>
      <w:r>
        <w:rPr>
          <w:rStyle w:val="32"/>
          <w:rFonts w:ascii="Times New Roman"/>
        </w:rPr>
        <w:t xml:space="preserve"> 一般要求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_Toc170304498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12884DF9">
      <w:pPr>
        <w:pStyle w:val="24"/>
        <w:rPr>
          <w:rFonts w:ascii="Times New Roman" w:hAnsi="Times New Roman" w:eastAsiaTheme="minorEastAsia"/>
          <w:szCs w:val="22"/>
        </w:rPr>
      </w:pPr>
      <w:r>
        <w:fldChar w:fldCharType="begin"/>
      </w:r>
      <w:r>
        <w:instrText xml:space="preserve"> HYPERLINK \l "_Toc170304499" </w:instrText>
      </w:r>
      <w:r>
        <w:fldChar w:fldCharType="separate"/>
      </w:r>
      <w:r>
        <w:rPr>
          <w:rStyle w:val="32"/>
          <w:rFonts w:ascii="Times New Roman"/>
          <w14:scene3d w14:prst="orthographicFront">
            <w14:lightRig w14:rig="threePt" w14:dir="t">
              <w14:rot w14:lat="0" w14:lon="0" w14:rev="0"/>
            </w14:lightRig>
          </w14:scene3d>
        </w:rPr>
        <w:t>7.2</w:t>
      </w:r>
      <w:r>
        <w:rPr>
          <w:rStyle w:val="32"/>
          <w:rFonts w:ascii="Times New Roman"/>
        </w:rPr>
        <w:t xml:space="preserve"> 物理处理</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_Toc170304499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12240A7F">
      <w:pPr>
        <w:pStyle w:val="24"/>
        <w:rPr>
          <w:rFonts w:ascii="Times New Roman" w:hAnsi="Times New Roman" w:eastAsiaTheme="minorEastAsia"/>
          <w:szCs w:val="22"/>
        </w:rPr>
      </w:pPr>
      <w:r>
        <w:fldChar w:fldCharType="begin"/>
      </w:r>
      <w:r>
        <w:instrText xml:space="preserve"> HYPERLINK \l "_Toc170304500" </w:instrText>
      </w:r>
      <w:r>
        <w:fldChar w:fldCharType="separate"/>
      </w:r>
      <w:r>
        <w:rPr>
          <w:rStyle w:val="32"/>
          <w:rFonts w:ascii="Times New Roman"/>
          <w14:scene3d w14:prst="orthographicFront">
            <w14:lightRig w14:rig="threePt" w14:dir="t">
              <w14:rot w14:lat="0" w14:lon="0" w14:rev="0"/>
            </w14:lightRig>
          </w14:scene3d>
        </w:rPr>
        <w:t>7.3</w:t>
      </w:r>
      <w:r>
        <w:rPr>
          <w:rStyle w:val="32"/>
          <w:rFonts w:ascii="Times New Roman"/>
        </w:rPr>
        <w:t xml:space="preserve"> 化学处理</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_Toc170304500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0BB37717">
      <w:pPr>
        <w:pStyle w:val="24"/>
        <w:rPr>
          <w:rFonts w:ascii="Times New Roman" w:hAnsi="Times New Roman" w:eastAsiaTheme="minorEastAsia"/>
          <w:szCs w:val="22"/>
        </w:rPr>
      </w:pPr>
      <w:r>
        <w:fldChar w:fldCharType="begin"/>
      </w:r>
      <w:r>
        <w:instrText xml:space="preserve"> HYPERLINK \l "_Toc170304501" </w:instrText>
      </w:r>
      <w:r>
        <w:fldChar w:fldCharType="separate"/>
      </w:r>
      <w:r>
        <w:rPr>
          <w:rStyle w:val="32"/>
          <w:rFonts w:ascii="Times New Roman"/>
          <w14:scene3d w14:prst="orthographicFront">
            <w14:lightRig w14:rig="threePt" w14:dir="t">
              <w14:rot w14:lat="0" w14:lon="0" w14:rev="0"/>
            </w14:lightRig>
          </w14:scene3d>
        </w:rPr>
        <w:t>7.4</w:t>
      </w:r>
      <w:r>
        <w:rPr>
          <w:rStyle w:val="32"/>
          <w:rFonts w:ascii="Times New Roman"/>
        </w:rPr>
        <w:t xml:space="preserve"> 生物处理</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_Toc170304501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7EEC75BC">
      <w:pPr>
        <w:pStyle w:val="19"/>
        <w:tabs>
          <w:tab w:val="right" w:leader="dot" w:pos="9344"/>
        </w:tabs>
        <w:rPr>
          <w:rFonts w:ascii="Times New Roman" w:hAnsi="Times New Roman" w:eastAsiaTheme="minorEastAsia"/>
          <w:szCs w:val="22"/>
        </w:rPr>
      </w:pPr>
      <w:r>
        <w:fldChar w:fldCharType="begin"/>
      </w:r>
      <w:r>
        <w:instrText xml:space="preserve"> HYPERLINK \l "_Toc170304502" </w:instrText>
      </w:r>
      <w:r>
        <w:fldChar w:fldCharType="separate"/>
      </w:r>
      <w:r>
        <w:rPr>
          <w:rStyle w:val="32"/>
          <w:rFonts w:ascii="Times New Roman"/>
        </w:rPr>
        <w:t>8 环境保护要求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_Toc170304502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506D98F8">
      <w:pPr>
        <w:pStyle w:val="24"/>
        <w:rPr>
          <w:rFonts w:ascii="Times New Roman" w:hAnsi="Times New Roman" w:eastAsiaTheme="minorEastAsia"/>
          <w:szCs w:val="22"/>
        </w:rPr>
      </w:pPr>
      <w:r>
        <w:fldChar w:fldCharType="begin"/>
      </w:r>
      <w:r>
        <w:instrText xml:space="preserve"> HYPERLINK \l "_Toc170304503" </w:instrText>
      </w:r>
      <w:r>
        <w:fldChar w:fldCharType="separate"/>
      </w:r>
      <w:r>
        <w:rPr>
          <w:rStyle w:val="32"/>
          <w:rFonts w:ascii="Times New Roman"/>
          <w14:scene3d w14:prst="orthographicFront">
            <w14:lightRig w14:rig="threePt" w14:dir="t">
              <w14:rot w14:lat="0" w14:lon="0" w14:rev="0"/>
            </w14:lightRig>
          </w14:scene3d>
        </w:rPr>
        <w:t>8.1</w:t>
      </w:r>
      <w:r>
        <w:rPr>
          <w:rStyle w:val="32"/>
          <w:rFonts w:ascii="Times New Roman"/>
        </w:rPr>
        <w:t xml:space="preserve"> 建设要求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_Toc170304503 \h </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rPr>
        <w:fldChar w:fldCharType="end"/>
      </w:r>
    </w:p>
    <w:p w14:paraId="17923CAF">
      <w:pPr>
        <w:pStyle w:val="24"/>
        <w:rPr>
          <w:rFonts w:ascii="Times New Roman" w:hAnsi="Times New Roman" w:eastAsiaTheme="minorEastAsia"/>
          <w:szCs w:val="22"/>
        </w:rPr>
      </w:pPr>
      <w:r>
        <w:fldChar w:fldCharType="begin"/>
      </w:r>
      <w:r>
        <w:instrText xml:space="preserve"> HYPERLINK \l "_Toc170304504" </w:instrText>
      </w:r>
      <w:r>
        <w:fldChar w:fldCharType="separate"/>
      </w:r>
      <w:r>
        <w:rPr>
          <w:rStyle w:val="32"/>
          <w:rFonts w:ascii="Times New Roman"/>
          <w14:scene3d w14:prst="orthographicFront">
            <w14:lightRig w14:rig="threePt" w14:dir="t">
              <w14:rot w14:lat="0" w14:lon="0" w14:rev="0"/>
            </w14:lightRig>
          </w14:scene3d>
        </w:rPr>
        <w:t>8.2</w:t>
      </w:r>
      <w:r>
        <w:rPr>
          <w:rStyle w:val="32"/>
          <w:rFonts w:ascii="Times New Roman"/>
        </w:rPr>
        <w:t xml:space="preserve"> 污染控制要求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_Toc170304504 \h </w:instrText>
      </w:r>
      <w:r>
        <w:rPr>
          <w:rFonts w:ascii="Times New Roman" w:hAnsi="Times New Roman"/>
        </w:rPr>
        <w:fldChar w:fldCharType="separate"/>
      </w:r>
      <w:r>
        <w:rPr>
          <w:rFonts w:ascii="Times New Roman" w:hAnsi="Times New Roman"/>
        </w:rPr>
        <w:t>6</w:t>
      </w:r>
      <w:r>
        <w:rPr>
          <w:rFonts w:ascii="Times New Roman" w:hAnsi="Times New Roman"/>
        </w:rPr>
        <w:fldChar w:fldCharType="end"/>
      </w:r>
      <w:r>
        <w:rPr>
          <w:rFonts w:ascii="Times New Roman" w:hAnsi="Times New Roman"/>
        </w:rPr>
        <w:fldChar w:fldCharType="end"/>
      </w:r>
    </w:p>
    <w:p w14:paraId="602ED033">
      <w:pPr>
        <w:pStyle w:val="19"/>
        <w:tabs>
          <w:tab w:val="right" w:leader="dot" w:pos="9344"/>
        </w:tabs>
        <w:rPr>
          <w:rFonts w:ascii="Times New Roman" w:hAnsi="Times New Roman" w:eastAsiaTheme="minorEastAsia"/>
          <w:szCs w:val="22"/>
        </w:rPr>
      </w:pPr>
      <w:r>
        <w:fldChar w:fldCharType="begin"/>
      </w:r>
      <w:r>
        <w:instrText xml:space="preserve"> HYPERLINK \l "_Toc170304505" </w:instrText>
      </w:r>
      <w:r>
        <w:fldChar w:fldCharType="separate"/>
      </w:r>
      <w:r>
        <w:rPr>
          <w:rStyle w:val="32"/>
          <w:rFonts w:ascii="Times New Roman"/>
        </w:rPr>
        <w:t>9 产物管理要求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_Toc170304505 \h </w:instrText>
      </w:r>
      <w:r>
        <w:rPr>
          <w:rFonts w:ascii="Times New Roman" w:hAnsi="Times New Roman"/>
        </w:rPr>
        <w:fldChar w:fldCharType="separate"/>
      </w:r>
      <w:r>
        <w:rPr>
          <w:rFonts w:ascii="Times New Roman" w:hAnsi="Times New Roman"/>
        </w:rPr>
        <w:t>6</w:t>
      </w:r>
      <w:r>
        <w:rPr>
          <w:rFonts w:ascii="Times New Roman" w:hAnsi="Times New Roman"/>
        </w:rPr>
        <w:fldChar w:fldCharType="end"/>
      </w:r>
      <w:r>
        <w:rPr>
          <w:rFonts w:ascii="Times New Roman" w:hAnsi="Times New Roman"/>
        </w:rPr>
        <w:fldChar w:fldCharType="end"/>
      </w:r>
    </w:p>
    <w:p w14:paraId="7EF6316E">
      <w:pPr>
        <w:pStyle w:val="24"/>
        <w:rPr>
          <w:rFonts w:ascii="Times New Roman" w:hAnsi="Times New Roman" w:eastAsiaTheme="minorEastAsia"/>
          <w:szCs w:val="22"/>
        </w:rPr>
      </w:pPr>
      <w:r>
        <w:fldChar w:fldCharType="begin"/>
      </w:r>
      <w:r>
        <w:instrText xml:space="preserve"> HYPERLINK \l "_Toc170304506" </w:instrText>
      </w:r>
      <w:r>
        <w:fldChar w:fldCharType="separate"/>
      </w:r>
      <w:r>
        <w:rPr>
          <w:rStyle w:val="32"/>
          <w:rFonts w:ascii="Times New Roman"/>
          <w14:scene3d w14:prst="orthographicFront">
            <w14:lightRig w14:rig="threePt" w14:dir="t">
              <w14:rot w14:lat="0" w14:lon="0" w14:rev="0"/>
            </w14:lightRig>
          </w14:scene3d>
        </w:rPr>
        <w:t>9.1</w:t>
      </w:r>
      <w:r>
        <w:rPr>
          <w:rStyle w:val="32"/>
          <w:rFonts w:ascii="Times New Roman"/>
        </w:rPr>
        <w:t xml:space="preserve"> 综合利用要求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_Toc170304506 \h </w:instrText>
      </w:r>
      <w:r>
        <w:rPr>
          <w:rFonts w:ascii="Times New Roman" w:hAnsi="Times New Roman"/>
        </w:rPr>
        <w:fldChar w:fldCharType="separate"/>
      </w:r>
      <w:r>
        <w:rPr>
          <w:rFonts w:ascii="Times New Roman" w:hAnsi="Times New Roman"/>
        </w:rPr>
        <w:t>6</w:t>
      </w:r>
      <w:r>
        <w:rPr>
          <w:rFonts w:ascii="Times New Roman" w:hAnsi="Times New Roman"/>
        </w:rPr>
        <w:fldChar w:fldCharType="end"/>
      </w:r>
      <w:r>
        <w:rPr>
          <w:rFonts w:ascii="Times New Roman" w:hAnsi="Times New Roman"/>
        </w:rPr>
        <w:fldChar w:fldCharType="end"/>
      </w:r>
    </w:p>
    <w:p w14:paraId="45D3414C">
      <w:pPr>
        <w:pStyle w:val="24"/>
        <w:rPr>
          <w:rFonts w:ascii="Times New Roman" w:hAnsi="Times New Roman" w:eastAsiaTheme="minorEastAsia"/>
          <w:szCs w:val="22"/>
        </w:rPr>
      </w:pPr>
      <w:r>
        <w:fldChar w:fldCharType="begin"/>
      </w:r>
      <w:r>
        <w:instrText xml:space="preserve"> HYPERLINK \l "_Toc170304507" </w:instrText>
      </w:r>
      <w:r>
        <w:fldChar w:fldCharType="separate"/>
      </w:r>
      <w:r>
        <w:rPr>
          <w:rStyle w:val="32"/>
          <w:rFonts w:ascii="Times New Roman"/>
          <w14:scene3d w14:prst="orthographicFront">
            <w14:lightRig w14:rig="threePt" w14:dir="t">
              <w14:rot w14:lat="0" w14:lon="0" w14:rev="0"/>
            </w14:lightRig>
          </w14:scene3d>
        </w:rPr>
        <w:t>9.2</w:t>
      </w:r>
      <w:r>
        <w:rPr>
          <w:rStyle w:val="32"/>
          <w:rFonts w:ascii="Times New Roman"/>
        </w:rPr>
        <w:t xml:space="preserve"> 最终处置要求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_Toc170304507 \h </w:instrText>
      </w:r>
      <w:r>
        <w:rPr>
          <w:rFonts w:ascii="Times New Roman" w:hAnsi="Times New Roman"/>
        </w:rPr>
        <w:fldChar w:fldCharType="separate"/>
      </w:r>
      <w:r>
        <w:rPr>
          <w:rFonts w:ascii="Times New Roman" w:hAnsi="Times New Roman"/>
        </w:rPr>
        <w:t>6</w:t>
      </w:r>
      <w:r>
        <w:rPr>
          <w:rFonts w:ascii="Times New Roman" w:hAnsi="Times New Roman"/>
        </w:rPr>
        <w:fldChar w:fldCharType="end"/>
      </w:r>
      <w:r>
        <w:rPr>
          <w:rFonts w:ascii="Times New Roman" w:hAnsi="Times New Roman"/>
        </w:rPr>
        <w:fldChar w:fldCharType="end"/>
      </w:r>
    </w:p>
    <w:p w14:paraId="547CCF82">
      <w:pPr>
        <w:pStyle w:val="19"/>
        <w:tabs>
          <w:tab w:val="right" w:leader="dot" w:pos="9344"/>
        </w:tabs>
        <w:rPr>
          <w:rFonts w:ascii="Times New Roman" w:hAnsi="Times New Roman" w:eastAsiaTheme="minorEastAsia"/>
          <w:szCs w:val="22"/>
        </w:rPr>
      </w:pPr>
      <w:r>
        <w:fldChar w:fldCharType="begin"/>
      </w:r>
      <w:r>
        <w:instrText xml:space="preserve"> HYPERLINK \l "_Toc170304508" </w:instrText>
      </w:r>
      <w:r>
        <w:fldChar w:fldCharType="separate"/>
      </w:r>
      <w:r>
        <w:rPr>
          <w:rStyle w:val="32"/>
          <w:rFonts w:ascii="Times New Roman"/>
        </w:rPr>
        <w:t>10 运行管理</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_Toc170304508 \h </w:instrText>
      </w:r>
      <w:r>
        <w:rPr>
          <w:rFonts w:ascii="Times New Roman" w:hAnsi="Times New Roman"/>
        </w:rPr>
        <w:fldChar w:fldCharType="separate"/>
      </w:r>
      <w:r>
        <w:rPr>
          <w:rFonts w:ascii="Times New Roman" w:hAnsi="Times New Roman"/>
        </w:rPr>
        <w:t>7</w:t>
      </w:r>
      <w:r>
        <w:rPr>
          <w:rFonts w:ascii="Times New Roman" w:hAnsi="Times New Roman"/>
        </w:rPr>
        <w:fldChar w:fldCharType="end"/>
      </w:r>
      <w:r>
        <w:rPr>
          <w:rFonts w:ascii="Times New Roman" w:hAnsi="Times New Roman"/>
        </w:rPr>
        <w:fldChar w:fldCharType="end"/>
      </w:r>
    </w:p>
    <w:p w14:paraId="53319254">
      <w:pPr>
        <w:pStyle w:val="24"/>
        <w:rPr>
          <w:rFonts w:ascii="Times New Roman" w:hAnsi="Times New Roman" w:eastAsiaTheme="minorEastAsia"/>
          <w:szCs w:val="22"/>
        </w:rPr>
      </w:pPr>
      <w:r>
        <w:fldChar w:fldCharType="begin"/>
      </w:r>
      <w:r>
        <w:instrText xml:space="preserve"> HYPERLINK \l "_Toc170304509" </w:instrText>
      </w:r>
      <w:r>
        <w:fldChar w:fldCharType="separate"/>
      </w:r>
      <w:r>
        <w:rPr>
          <w:rStyle w:val="32"/>
          <w:rFonts w:ascii="Times New Roman"/>
          <w14:scene3d w14:prst="orthographicFront">
            <w14:lightRig w14:rig="threePt" w14:dir="t">
              <w14:rot w14:lat="0" w14:lon="0" w14:rev="0"/>
            </w14:lightRig>
          </w14:scene3d>
        </w:rPr>
        <w:t>10.1</w:t>
      </w:r>
      <w:r>
        <w:rPr>
          <w:rStyle w:val="32"/>
          <w:rFonts w:ascii="Times New Roman"/>
        </w:rPr>
        <w:t xml:space="preserve"> </w:t>
      </w:r>
      <w:r>
        <w:rPr>
          <w:rStyle w:val="32"/>
          <w:rFonts w:hint="eastAsia" w:ascii="Times New Roman"/>
        </w:rPr>
        <w:t>企业管理</w:t>
      </w:r>
      <w:r>
        <w:rPr>
          <w:rStyle w:val="32"/>
          <w:rFonts w:ascii="Times New Roman"/>
        </w:rPr>
        <w:t>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_Toc170304509 \h </w:instrText>
      </w:r>
      <w:r>
        <w:rPr>
          <w:rFonts w:ascii="Times New Roman" w:hAnsi="Times New Roman"/>
        </w:rPr>
        <w:fldChar w:fldCharType="separate"/>
      </w:r>
      <w:r>
        <w:rPr>
          <w:rFonts w:ascii="Times New Roman" w:hAnsi="Times New Roman"/>
        </w:rPr>
        <w:t>7</w:t>
      </w:r>
      <w:r>
        <w:rPr>
          <w:rFonts w:ascii="Times New Roman" w:hAnsi="Times New Roman"/>
        </w:rPr>
        <w:fldChar w:fldCharType="end"/>
      </w:r>
      <w:r>
        <w:rPr>
          <w:rFonts w:ascii="Times New Roman" w:hAnsi="Times New Roman"/>
        </w:rPr>
        <w:fldChar w:fldCharType="end"/>
      </w:r>
    </w:p>
    <w:p w14:paraId="2FC79422">
      <w:pPr>
        <w:pStyle w:val="24"/>
        <w:rPr>
          <w:rFonts w:ascii="Times New Roman" w:hAnsi="Times New Roman" w:eastAsiaTheme="minorEastAsia"/>
          <w:szCs w:val="22"/>
        </w:rPr>
      </w:pPr>
      <w:r>
        <w:fldChar w:fldCharType="begin"/>
      </w:r>
      <w:r>
        <w:instrText xml:space="preserve"> HYPERLINK \l "_Toc170304510" </w:instrText>
      </w:r>
      <w:r>
        <w:fldChar w:fldCharType="separate"/>
      </w:r>
      <w:r>
        <w:rPr>
          <w:rStyle w:val="32"/>
          <w:rFonts w:ascii="Times New Roman"/>
          <w14:scene3d w14:prst="orthographicFront">
            <w14:lightRig w14:rig="threePt" w14:dir="t">
              <w14:rot w14:lat="0" w14:lon="0" w14:rev="0"/>
            </w14:lightRig>
          </w14:scene3d>
        </w:rPr>
        <w:t>10.2</w:t>
      </w:r>
      <w:r>
        <w:rPr>
          <w:rStyle w:val="32"/>
          <w:rFonts w:ascii="Times New Roman"/>
        </w:rPr>
        <w:t xml:space="preserve"> 检测要求</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_Toc170304510 \h </w:instrText>
      </w:r>
      <w:r>
        <w:rPr>
          <w:rFonts w:ascii="Times New Roman" w:hAnsi="Times New Roman"/>
        </w:rPr>
        <w:fldChar w:fldCharType="separate"/>
      </w:r>
      <w:r>
        <w:rPr>
          <w:rFonts w:ascii="Times New Roman" w:hAnsi="Times New Roman"/>
        </w:rPr>
        <w:t>7</w:t>
      </w:r>
      <w:r>
        <w:rPr>
          <w:rFonts w:ascii="Times New Roman" w:hAnsi="Times New Roman"/>
        </w:rPr>
        <w:fldChar w:fldCharType="end"/>
      </w:r>
      <w:r>
        <w:rPr>
          <w:rFonts w:ascii="Times New Roman" w:hAnsi="Times New Roman"/>
        </w:rPr>
        <w:fldChar w:fldCharType="end"/>
      </w:r>
    </w:p>
    <w:p w14:paraId="168A9A3F">
      <w:pPr>
        <w:pStyle w:val="24"/>
        <w:rPr>
          <w:rFonts w:ascii="Times New Roman" w:hAnsi="Times New Roman" w:eastAsiaTheme="minorEastAsia"/>
          <w:szCs w:val="22"/>
        </w:rPr>
      </w:pPr>
      <w:r>
        <w:fldChar w:fldCharType="begin"/>
      </w:r>
      <w:r>
        <w:instrText xml:space="preserve"> HYPERLINK \l "_Toc170304511" </w:instrText>
      </w:r>
      <w:r>
        <w:fldChar w:fldCharType="separate"/>
      </w:r>
      <w:r>
        <w:rPr>
          <w:rStyle w:val="32"/>
          <w:rFonts w:ascii="Times New Roman"/>
          <w14:scene3d w14:prst="orthographicFront">
            <w14:lightRig w14:rig="threePt" w14:dir="t">
              <w14:rot w14:lat="0" w14:lon="0" w14:rev="0"/>
            </w14:lightRig>
          </w14:scene3d>
        </w:rPr>
        <w:t>10.3</w:t>
      </w:r>
      <w:r>
        <w:rPr>
          <w:rStyle w:val="32"/>
          <w:rFonts w:ascii="Times New Roman"/>
        </w:rPr>
        <w:t xml:space="preserve"> 信息公开</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_Toc170304511 \h </w:instrText>
      </w:r>
      <w:r>
        <w:rPr>
          <w:rFonts w:ascii="Times New Roman" w:hAnsi="Times New Roman"/>
        </w:rPr>
        <w:fldChar w:fldCharType="separate"/>
      </w:r>
      <w:r>
        <w:rPr>
          <w:rFonts w:ascii="Times New Roman" w:hAnsi="Times New Roman"/>
        </w:rPr>
        <w:t>7</w:t>
      </w:r>
      <w:r>
        <w:rPr>
          <w:rFonts w:ascii="Times New Roman" w:hAnsi="Times New Roman"/>
        </w:rPr>
        <w:fldChar w:fldCharType="end"/>
      </w:r>
      <w:r>
        <w:rPr>
          <w:rFonts w:ascii="Times New Roman" w:hAnsi="Times New Roman"/>
        </w:rPr>
        <w:fldChar w:fldCharType="end"/>
      </w:r>
    </w:p>
    <w:p w14:paraId="5E4C17B6">
      <w:pPr>
        <w:pStyle w:val="19"/>
        <w:tabs>
          <w:tab w:val="right" w:leader="dot" w:pos="9344"/>
        </w:tabs>
        <w:rPr>
          <w:rFonts w:asciiTheme="minorHAnsi" w:hAnsiTheme="minorHAnsi" w:eastAsiaTheme="minorEastAsia" w:cstheme="minorBidi"/>
          <w:szCs w:val="22"/>
        </w:rPr>
      </w:pPr>
      <w:r>
        <w:fldChar w:fldCharType="begin"/>
      </w:r>
      <w:r>
        <w:instrText xml:space="preserve"> HYPERLINK \l "_Toc170304512" </w:instrText>
      </w:r>
      <w:r>
        <w:fldChar w:fldCharType="separate"/>
      </w:r>
      <w:r>
        <w:rPr>
          <w:rStyle w:val="32"/>
          <w:rFonts w:ascii="Times New Roman"/>
          <w:spacing w:val="100"/>
        </w:rPr>
        <w:t>附录A</w:t>
      </w:r>
      <w:r>
        <w:rPr>
          <w:rStyle w:val="32"/>
          <w:rFonts w:ascii="Times New Roman"/>
        </w:rPr>
        <w:t xml:space="preserve"> （资料性） 典型含有色金属固体废物利用工艺方法</w:t>
      </w:r>
      <w:r>
        <w:rPr>
          <w:rFonts w:ascii="Times New Roman" w:hAnsi="Times New Roman"/>
        </w:rPr>
        <w:tab/>
      </w:r>
      <w:r>
        <w:rPr>
          <w:rFonts w:ascii="Times New Roman" w:hAnsi="Times New Roman"/>
        </w:rPr>
        <w:fldChar w:fldCharType="begin"/>
      </w:r>
      <w:r>
        <w:rPr>
          <w:rFonts w:ascii="Times New Roman" w:hAnsi="Times New Roman"/>
        </w:rPr>
        <w:instrText xml:space="preserve"> PAGEREF _Toc170304512 \h </w:instrText>
      </w:r>
      <w:r>
        <w:rPr>
          <w:rFonts w:ascii="Times New Roman" w:hAnsi="Times New Roman"/>
        </w:rPr>
        <w:fldChar w:fldCharType="separate"/>
      </w:r>
      <w:r>
        <w:rPr>
          <w:rFonts w:ascii="Times New Roman" w:hAnsi="Times New Roman"/>
        </w:rPr>
        <w:t>9</w:t>
      </w:r>
      <w:r>
        <w:rPr>
          <w:rFonts w:ascii="Times New Roman" w:hAnsi="Times New Roman"/>
        </w:rPr>
        <w:fldChar w:fldCharType="end"/>
      </w:r>
      <w:r>
        <w:rPr>
          <w:rFonts w:ascii="Times New Roman" w:hAnsi="Times New Roman"/>
        </w:rPr>
        <w:fldChar w:fldCharType="end"/>
      </w:r>
    </w:p>
    <w:p w14:paraId="28367D22">
      <w:pPr>
        <w:pStyle w:val="91"/>
        <w:spacing w:after="468"/>
        <w:sectPr>
          <w:headerReference r:id="rId9" w:type="default"/>
          <w:footerReference r:id="rId11" w:type="default"/>
          <w:headerReference r:id="rId10"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14:paraId="4D6B36ED">
      <w:pPr>
        <w:pStyle w:val="89"/>
        <w:spacing w:before="900" w:after="468"/>
      </w:pPr>
      <w:bookmarkStart w:id="22" w:name="_Toc170304490"/>
      <w:bookmarkStart w:id="23" w:name="BookMark2"/>
      <w:r>
        <w:rPr>
          <w:spacing w:val="320"/>
        </w:rPr>
        <w:t>前</w:t>
      </w:r>
      <w:r>
        <w:t>言</w:t>
      </w:r>
      <w:bookmarkEnd w:id="22"/>
    </w:p>
    <w:p w14:paraId="2526F711">
      <w:pPr>
        <w:pStyle w:val="56"/>
        <w:ind w:firstLine="420"/>
      </w:pPr>
      <w:r>
        <w:rPr>
          <w:rFonts w:hint="eastAsia"/>
        </w:rPr>
        <w:t>本文件按照GB/T 1.1—2020《标准化工作导则  第1部分：标准化文件的结构和起草规则》的规定起草。</w:t>
      </w:r>
    </w:p>
    <w:p w14:paraId="62E12044">
      <w:pPr>
        <w:pStyle w:val="56"/>
        <w:ind w:firstLine="420"/>
      </w:pPr>
      <w:r>
        <w:rPr>
          <w:rFonts w:hint="eastAsia"/>
        </w:rPr>
        <w:t>本文件由湖北省生态环境科学研究院（省生态环境工程评估中心）提出。</w:t>
      </w:r>
    </w:p>
    <w:p w14:paraId="719FA96A">
      <w:pPr>
        <w:pStyle w:val="56"/>
        <w:ind w:firstLine="420"/>
      </w:pPr>
      <w:r>
        <w:rPr>
          <w:rFonts w:hint="eastAsia"/>
        </w:rPr>
        <w:t>本文件由湖北省生态环境厅归口。</w:t>
      </w:r>
    </w:p>
    <w:p w14:paraId="15334A1C">
      <w:pPr>
        <w:pStyle w:val="56"/>
        <w:ind w:firstLine="420"/>
      </w:pPr>
      <w:r>
        <w:rPr>
          <w:rFonts w:hint="eastAsia"/>
        </w:rPr>
        <w:t>本文件起草单位：湖北省生态环境科学研究院（省生态环境工程评估中心）、湖北省固体废物与化学品污染防治中心、中化学大江环保科技股份有限公司。</w:t>
      </w:r>
    </w:p>
    <w:p w14:paraId="6BAEDEB9">
      <w:pPr>
        <w:pStyle w:val="56"/>
        <w:ind w:firstLine="420"/>
        <w:rPr>
          <w:rFonts w:hint="eastAsia"/>
          <w:lang w:val="en-US" w:eastAsia="zh-CN"/>
        </w:rPr>
      </w:pPr>
      <w:r>
        <w:rPr>
          <w:rFonts w:hint="eastAsia"/>
        </w:rPr>
        <w:t>本文件主要起草人：</w:t>
      </w:r>
      <w:r>
        <w:rPr>
          <w:rFonts w:hint="eastAsia"/>
          <w:lang w:val="en-US" w:eastAsia="zh-CN"/>
        </w:rPr>
        <w:t>王东方、朱燕···</w:t>
      </w:r>
    </w:p>
    <w:p w14:paraId="108C6634">
      <w:pPr>
        <w:pStyle w:val="56"/>
        <w:ind w:firstLine="420"/>
        <w:rPr>
          <w:rFonts w:ascii="Times New Roman"/>
        </w:rPr>
      </w:pPr>
      <w:r>
        <w:rPr>
          <w:rFonts w:ascii="Times New Roman"/>
        </w:rPr>
        <w:t>对本文件的有关修改意见建议请反馈至湖北省生态环境科学研究院，电话：027-878</w:t>
      </w:r>
      <w:r>
        <w:rPr>
          <w:rFonts w:hint="eastAsia" w:ascii="Times New Roman"/>
          <w:lang w:val="en-US" w:eastAsia="zh-CN"/>
        </w:rPr>
        <w:t>87701</w:t>
      </w:r>
      <w:r>
        <w:rPr>
          <w:rFonts w:ascii="Times New Roman"/>
        </w:rPr>
        <w:t>，邮箱：</w:t>
      </w:r>
      <w:r>
        <w:rPr>
          <w:rFonts w:hint="eastAsia" w:ascii="Times New Roman"/>
        </w:rPr>
        <w:t>hky_ghs</w:t>
      </w:r>
      <w:r>
        <w:rPr>
          <w:rFonts w:ascii="Times New Roman"/>
        </w:rPr>
        <w:t>@163.com。</w:t>
      </w:r>
    </w:p>
    <w:p w14:paraId="4E6256D3">
      <w:pPr>
        <w:pStyle w:val="56"/>
        <w:ind w:firstLine="420"/>
        <w:rPr>
          <w:rFonts w:hint="default"/>
          <w:lang w:val="en-US" w:eastAsia="zh-CN"/>
        </w:rPr>
      </w:pPr>
    </w:p>
    <w:p w14:paraId="2EA35525">
      <w:pPr>
        <w:pStyle w:val="56"/>
        <w:ind w:firstLine="420"/>
      </w:pPr>
    </w:p>
    <w:p w14:paraId="4B064289">
      <w:pPr>
        <w:pStyle w:val="56"/>
        <w:ind w:firstLine="420"/>
        <w:sectPr>
          <w:pgSz w:w="11906" w:h="16838"/>
          <w:pgMar w:top="1928" w:right="1134" w:bottom="1134" w:left="1134" w:header="1418" w:footer="1134" w:gutter="284"/>
          <w:pgNumType w:fmt="upperRoman"/>
          <w:cols w:space="425" w:num="1"/>
          <w:formProt w:val="0"/>
          <w:docGrid w:type="lines" w:linePitch="312" w:charSpace="0"/>
        </w:sectPr>
      </w:pPr>
      <w:bookmarkStart w:id="74" w:name="_GoBack"/>
      <w:bookmarkEnd w:id="74"/>
    </w:p>
    <w:bookmarkEnd w:id="23"/>
    <w:p w14:paraId="4A33504B">
      <w:pPr>
        <w:spacing w:line="20" w:lineRule="exact"/>
        <w:jc w:val="center"/>
        <w:rPr>
          <w:rFonts w:ascii="黑体" w:hAnsi="黑体" w:eastAsia="黑体"/>
          <w:sz w:val="32"/>
          <w:szCs w:val="32"/>
        </w:rPr>
      </w:pPr>
      <w:bookmarkStart w:id="24" w:name="BookMark4"/>
    </w:p>
    <w:p w14:paraId="2D9C34E0">
      <w:pPr>
        <w:spacing w:line="20" w:lineRule="exact"/>
        <w:jc w:val="center"/>
        <w:rPr>
          <w:rFonts w:ascii="黑体" w:hAnsi="黑体" w:eastAsia="黑体"/>
          <w:sz w:val="32"/>
          <w:szCs w:val="32"/>
        </w:rPr>
      </w:pPr>
    </w:p>
    <w:sdt>
      <w:sdtPr>
        <w:tag w:val="NEW_STAND_NAME"/>
        <w:id w:val="595910757"/>
        <w:lock w:val="sdtLocked"/>
        <w:placeholder>
          <w:docPart w:val="504DC6CE5AF040E58AC78F0894BE3297"/>
        </w:placeholder>
      </w:sdtPr>
      <w:sdtContent>
        <w:p w14:paraId="5CA530DE">
          <w:pPr>
            <w:pStyle w:val="177"/>
            <w:spacing w:before="3" w:beforeLines="1" w:after="3" w:afterLines="1"/>
          </w:pPr>
          <w:bookmarkStart w:id="25" w:name="NEW_STAND_NAME"/>
          <w:r>
            <w:rPr>
              <w:rFonts w:hint="eastAsia"/>
            </w:rPr>
            <w:t>危险废物利用处置污染控制技术规范 第4部分:含有色金属固体废物</w:t>
          </w:r>
        </w:p>
      </w:sdtContent>
    </w:sdt>
    <w:bookmarkEnd w:id="25"/>
    <w:p w14:paraId="48509707">
      <w:pPr>
        <w:pStyle w:val="104"/>
        <w:spacing w:before="312" w:after="312"/>
      </w:pPr>
      <w:bookmarkStart w:id="26" w:name="_Toc17233325"/>
      <w:bookmarkStart w:id="27" w:name="_Toc26986771"/>
      <w:bookmarkStart w:id="28" w:name="_Toc24884211"/>
      <w:bookmarkStart w:id="29" w:name="_Toc26718930"/>
      <w:bookmarkStart w:id="30" w:name="_Toc26986530"/>
      <w:bookmarkStart w:id="31" w:name="_Toc26648465"/>
      <w:bookmarkStart w:id="32" w:name="_Toc97191423"/>
      <w:bookmarkStart w:id="33" w:name="_Toc24884218"/>
      <w:bookmarkStart w:id="34" w:name="_Toc17233333"/>
      <w:bookmarkStart w:id="35" w:name="_Toc170304491"/>
      <w:r>
        <w:rPr>
          <w:rFonts w:hint="eastAsia"/>
        </w:rPr>
        <w:t>范围</w:t>
      </w:r>
      <w:bookmarkEnd w:id="26"/>
      <w:bookmarkEnd w:id="27"/>
      <w:bookmarkEnd w:id="28"/>
      <w:bookmarkEnd w:id="29"/>
      <w:bookmarkEnd w:id="30"/>
      <w:bookmarkEnd w:id="31"/>
      <w:bookmarkEnd w:id="32"/>
      <w:bookmarkEnd w:id="33"/>
      <w:bookmarkEnd w:id="34"/>
      <w:bookmarkEnd w:id="35"/>
    </w:p>
    <w:p w14:paraId="56BED456">
      <w:pPr>
        <w:pStyle w:val="56"/>
        <w:ind w:firstLine="420"/>
      </w:pPr>
      <w:bookmarkStart w:id="36" w:name="_Toc26648466"/>
      <w:bookmarkStart w:id="37" w:name="_Toc24884219"/>
      <w:bookmarkStart w:id="38" w:name="_Toc17233326"/>
      <w:bookmarkStart w:id="39" w:name="_Toc24884212"/>
      <w:bookmarkStart w:id="40" w:name="_Toc17233334"/>
      <w:r>
        <w:rPr>
          <w:rFonts w:hint="eastAsia"/>
        </w:rPr>
        <w:t>本文件规定了含有色金属固体废物回收利用的总体要求、企业管理要求，</w:t>
      </w:r>
      <w:r>
        <w:t>生态环境保护要求和回收利用产物管理要求。</w:t>
      </w:r>
    </w:p>
    <w:p w14:paraId="71E4DD8D">
      <w:pPr>
        <w:pStyle w:val="56"/>
        <w:ind w:firstLine="420"/>
      </w:pPr>
      <w:r>
        <w:rPr>
          <w:rFonts w:hint="eastAsia"/>
        </w:rPr>
        <w:t>本文件适用于有色金属冶炼、电子工</w:t>
      </w:r>
      <w:r>
        <w:t>业</w:t>
      </w:r>
      <w:r>
        <w:rPr>
          <w:rFonts w:hint="eastAsia"/>
        </w:rPr>
        <w:t>、</w:t>
      </w:r>
      <w:r>
        <w:t>金属表面处理、石油炼化、环境治理等行业产生的含有色金属的残渣</w:t>
      </w:r>
      <w:r>
        <w:rPr>
          <w:rFonts w:hint="eastAsia"/>
        </w:rPr>
        <w:t>、</w:t>
      </w:r>
      <w:r>
        <w:t>粉尘</w:t>
      </w:r>
      <w:r>
        <w:rPr>
          <w:rFonts w:hint="eastAsia"/>
        </w:rPr>
        <w:t>、</w:t>
      </w:r>
      <w:r>
        <w:t>烟尘</w:t>
      </w:r>
      <w:r>
        <w:rPr>
          <w:rFonts w:hint="eastAsia"/>
        </w:rPr>
        <w:t>、</w:t>
      </w:r>
      <w:r>
        <w:t>污泥和废液等</w:t>
      </w:r>
      <w:r>
        <w:rPr>
          <w:rFonts w:hint="eastAsia"/>
        </w:rPr>
        <w:t>固体</w:t>
      </w:r>
      <w:r>
        <w:t>废物的回收利用。</w:t>
      </w:r>
    </w:p>
    <w:p w14:paraId="74146327">
      <w:pPr>
        <w:pStyle w:val="56"/>
        <w:ind w:firstLine="420"/>
      </w:pPr>
      <w:r>
        <w:rPr>
          <w:rFonts w:hint="eastAsia"/>
        </w:rPr>
        <w:t>本文件不适用于有色金属行业采矿、选矿过程产生的固体废物回收利用，</w:t>
      </w:r>
      <w:r>
        <w:t>也不适用于含放射性物质的</w:t>
      </w:r>
      <w:r>
        <w:rPr>
          <w:rFonts w:hint="eastAsia"/>
        </w:rPr>
        <w:t>固体</w:t>
      </w:r>
      <w:r>
        <w:t>废物的回收利用。</w:t>
      </w:r>
    </w:p>
    <w:p w14:paraId="4D2CD5D0">
      <w:pPr>
        <w:pStyle w:val="104"/>
        <w:spacing w:before="312" w:after="312"/>
      </w:pPr>
      <w:bookmarkStart w:id="41" w:name="_Toc26718931"/>
      <w:bookmarkStart w:id="42" w:name="_Toc97191424"/>
      <w:bookmarkStart w:id="43" w:name="_Toc26986531"/>
      <w:bookmarkStart w:id="44" w:name="_Toc170304492"/>
      <w:bookmarkStart w:id="45" w:name="_Toc26986772"/>
      <w:r>
        <w:rPr>
          <w:rFonts w:hint="eastAsia"/>
        </w:rPr>
        <w:t>规范性引用文件</w:t>
      </w:r>
      <w:bookmarkEnd w:id="36"/>
      <w:bookmarkEnd w:id="37"/>
      <w:bookmarkEnd w:id="38"/>
      <w:bookmarkEnd w:id="39"/>
      <w:bookmarkEnd w:id="40"/>
      <w:bookmarkEnd w:id="41"/>
      <w:bookmarkEnd w:id="42"/>
      <w:bookmarkEnd w:id="43"/>
      <w:bookmarkEnd w:id="44"/>
      <w:bookmarkEnd w:id="45"/>
    </w:p>
    <w:sdt>
      <w:sdtPr>
        <w:rPr>
          <w:rFonts w:hint="eastAsia"/>
        </w:rPr>
        <w:id w:val="715848253"/>
        <w:placeholder>
          <w:docPart w:val="4DBECB421D104B97B4FBEAAA530B429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4C137623">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1A7F3EF">
      <w:pPr>
        <w:pStyle w:val="56"/>
        <w:ind w:firstLine="420"/>
      </w:pPr>
      <w:r>
        <w:rPr>
          <w:rFonts w:hint="eastAsia"/>
        </w:rPr>
        <w:t>G</w:t>
      </w:r>
      <w:r>
        <w:t>B 5085</w:t>
      </w:r>
      <w:r>
        <w:rPr>
          <w:rFonts w:hint="eastAsia"/>
        </w:rPr>
        <w:t xml:space="preserve"> （所有部分） 危险废物鉴别标准</w:t>
      </w:r>
    </w:p>
    <w:p w14:paraId="4345DBC9">
      <w:pPr>
        <w:pStyle w:val="56"/>
        <w:ind w:firstLine="420"/>
      </w:pPr>
      <w:r>
        <w:t>GB 6566</w:t>
      </w:r>
      <w:r>
        <w:rPr>
          <w:rFonts w:hint="eastAsia"/>
        </w:rPr>
        <w:t xml:space="preserve"> </w:t>
      </w:r>
      <w:r>
        <w:t>建筑材料放射性核素限量</w:t>
      </w:r>
    </w:p>
    <w:p w14:paraId="6A0D7E31">
      <w:pPr>
        <w:pStyle w:val="56"/>
        <w:ind w:firstLine="420"/>
      </w:pPr>
      <w:r>
        <w:t>GB 8978</w:t>
      </w:r>
      <w:r>
        <w:rPr>
          <w:rFonts w:hint="eastAsia"/>
        </w:rPr>
        <w:t xml:space="preserve"> </w:t>
      </w:r>
      <w:r>
        <w:t>污水综合排放标准</w:t>
      </w:r>
    </w:p>
    <w:p w14:paraId="22AF0547">
      <w:pPr>
        <w:pStyle w:val="56"/>
        <w:ind w:firstLine="420"/>
      </w:pPr>
      <w:r>
        <w:t>GB 9078</w:t>
      </w:r>
      <w:r>
        <w:rPr>
          <w:rFonts w:hint="eastAsia"/>
        </w:rPr>
        <w:t xml:space="preserve"> </w:t>
      </w:r>
      <w:r>
        <w:t>工业炉窑大气污染物排放标准</w:t>
      </w:r>
    </w:p>
    <w:p w14:paraId="2F6A48B7">
      <w:pPr>
        <w:pStyle w:val="56"/>
        <w:ind w:firstLine="420"/>
      </w:pPr>
      <w:r>
        <w:t>GB 12348</w:t>
      </w:r>
      <w:r>
        <w:rPr>
          <w:rFonts w:hint="eastAsia"/>
        </w:rPr>
        <w:t xml:space="preserve"> </w:t>
      </w:r>
      <w:r>
        <w:t>工业企业厂界环境噪声排放标准</w:t>
      </w:r>
    </w:p>
    <w:p w14:paraId="1B7458BE">
      <w:pPr>
        <w:pStyle w:val="56"/>
        <w:ind w:firstLine="420"/>
      </w:pPr>
      <w:r>
        <w:t>GB 16297</w:t>
      </w:r>
      <w:r>
        <w:rPr>
          <w:rFonts w:hint="eastAsia"/>
        </w:rPr>
        <w:t xml:space="preserve"> </w:t>
      </w:r>
      <w:r>
        <w:t>大气污染物综合排放标准</w:t>
      </w:r>
    </w:p>
    <w:p w14:paraId="597D36B5">
      <w:pPr>
        <w:pStyle w:val="56"/>
        <w:ind w:firstLine="420"/>
      </w:pPr>
      <w:r>
        <w:rPr>
          <w:rFonts w:hint="eastAsia"/>
        </w:rPr>
        <w:t>G</w:t>
      </w:r>
      <w:r>
        <w:t xml:space="preserve">B 18597 </w:t>
      </w:r>
      <w:r>
        <w:rPr>
          <w:rFonts w:hint="eastAsia"/>
        </w:rPr>
        <w:t>危险废物贮存污染控制标准</w:t>
      </w:r>
    </w:p>
    <w:p w14:paraId="33A894BF">
      <w:pPr>
        <w:pStyle w:val="56"/>
        <w:ind w:firstLine="420"/>
      </w:pPr>
      <w:r>
        <w:t>GB 18598</w:t>
      </w:r>
      <w:r>
        <w:rPr>
          <w:rFonts w:hint="eastAsia"/>
        </w:rPr>
        <w:t xml:space="preserve"> </w:t>
      </w:r>
      <w:r>
        <w:t>危险废物填埋污染控制标准</w:t>
      </w:r>
    </w:p>
    <w:p w14:paraId="655F38CE">
      <w:pPr>
        <w:pStyle w:val="56"/>
        <w:ind w:firstLine="420"/>
      </w:pPr>
      <w:r>
        <w:rPr>
          <w:rFonts w:hint="eastAsia"/>
        </w:rPr>
        <w:t>G</w:t>
      </w:r>
      <w:r>
        <w:t xml:space="preserve">B 18599 </w:t>
      </w:r>
      <w:r>
        <w:rPr>
          <w:rFonts w:hint="eastAsia"/>
        </w:rPr>
        <w:t>一般工业固体废物贮存和填埋污染控制标准</w:t>
      </w:r>
    </w:p>
    <w:p w14:paraId="11131360">
      <w:pPr>
        <w:pStyle w:val="56"/>
        <w:ind w:firstLine="420"/>
      </w:pPr>
      <w:r>
        <w:t>GB/T 20862</w:t>
      </w:r>
      <w:r>
        <w:rPr>
          <w:rFonts w:hint="eastAsia"/>
        </w:rPr>
        <w:t xml:space="preserve"> </w:t>
      </w:r>
      <w:r>
        <w:t>产品可回收利用率计算方法导则</w:t>
      </w:r>
    </w:p>
    <w:p w14:paraId="23DB09DE">
      <w:pPr>
        <w:pStyle w:val="56"/>
        <w:ind w:firstLine="420"/>
      </w:pPr>
      <w:r>
        <w:t>GB 30485</w:t>
      </w:r>
      <w:r>
        <w:rPr>
          <w:rFonts w:hint="eastAsia"/>
        </w:rPr>
        <w:t xml:space="preserve"> </w:t>
      </w:r>
      <w:r>
        <w:t>水泥窑协同处置固体废物污染控制标准</w:t>
      </w:r>
    </w:p>
    <w:p w14:paraId="251641C6">
      <w:pPr>
        <w:pStyle w:val="56"/>
        <w:ind w:firstLine="420"/>
      </w:pPr>
      <w:r>
        <w:t>GB</w:t>
      </w:r>
      <w:r>
        <w:rPr>
          <w:rFonts w:hint="eastAsia"/>
        </w:rPr>
        <w:t xml:space="preserve"> </w:t>
      </w:r>
      <w:r>
        <w:t>18484</w:t>
      </w:r>
      <w:r>
        <w:rPr>
          <w:rFonts w:hint="eastAsia"/>
        </w:rPr>
        <w:t xml:space="preserve"> </w:t>
      </w:r>
      <w:r>
        <w:t>危险废物焚烧污染控制标准</w:t>
      </w:r>
    </w:p>
    <w:p w14:paraId="61E5FE47">
      <w:pPr>
        <w:pStyle w:val="56"/>
        <w:ind w:firstLine="420"/>
      </w:pPr>
      <w:r>
        <w:t>GB 31574</w:t>
      </w:r>
      <w:r>
        <w:rPr>
          <w:rFonts w:hint="eastAsia"/>
        </w:rPr>
        <w:t xml:space="preserve"> </w:t>
      </w:r>
      <w:r>
        <w:t>再生铜、铝、铅、锌工业污染物排放标准</w:t>
      </w:r>
    </w:p>
    <w:p w14:paraId="4F58D038">
      <w:pPr>
        <w:pStyle w:val="56"/>
        <w:ind w:firstLine="420"/>
      </w:pPr>
      <w:r>
        <w:rPr>
          <w:rFonts w:hint="eastAsia"/>
        </w:rPr>
        <w:t>G</w:t>
      </w:r>
      <w:r>
        <w:t xml:space="preserve">B 34330 </w:t>
      </w:r>
      <w:r>
        <w:rPr>
          <w:rFonts w:hint="eastAsia"/>
        </w:rPr>
        <w:t>固体废物鉴别标准通则</w:t>
      </w:r>
    </w:p>
    <w:p w14:paraId="1D38D9CD">
      <w:pPr>
        <w:pStyle w:val="56"/>
        <w:ind w:firstLine="420"/>
      </w:pPr>
      <w:r>
        <w:rPr>
          <w:rFonts w:hint="eastAsia"/>
        </w:rPr>
        <w:t>GB/T 38101 含铜污泥处理处置方法</w:t>
      </w:r>
    </w:p>
    <w:p w14:paraId="29083EB4">
      <w:pPr>
        <w:pStyle w:val="56"/>
        <w:ind w:firstLine="420"/>
      </w:pPr>
      <w:r>
        <w:rPr>
          <w:rFonts w:hint="eastAsia"/>
        </w:rPr>
        <w:t>GB/T 38103 含锂废料处理处置方法</w:t>
      </w:r>
    </w:p>
    <w:p w14:paraId="3C5A3FD4">
      <w:pPr>
        <w:pStyle w:val="56"/>
        <w:ind w:firstLine="420"/>
      </w:pPr>
      <w:r>
        <w:rPr>
          <w:rFonts w:hint="eastAsia"/>
        </w:rPr>
        <w:t>GB/T 41012 含有色金属固体废物回收利用技术规范</w:t>
      </w:r>
    </w:p>
    <w:p w14:paraId="6D4F89F2">
      <w:pPr>
        <w:pStyle w:val="56"/>
        <w:ind w:firstLine="420"/>
      </w:pPr>
      <w:r>
        <w:rPr>
          <w:rFonts w:hint="eastAsia"/>
        </w:rPr>
        <w:t>G</w:t>
      </w:r>
      <w:r>
        <w:t xml:space="preserve">B/T 41015 </w:t>
      </w:r>
      <w:r>
        <w:rPr>
          <w:rFonts w:hint="eastAsia"/>
        </w:rPr>
        <w:t>固体废物玻璃化处理产物技术要求</w:t>
      </w:r>
    </w:p>
    <w:p w14:paraId="1F6BF244">
      <w:pPr>
        <w:pStyle w:val="56"/>
        <w:ind w:firstLine="420"/>
      </w:pPr>
      <w:r>
        <w:t>GBZ1 工业企业设计卫生标准</w:t>
      </w:r>
    </w:p>
    <w:p w14:paraId="0B39DD05">
      <w:pPr>
        <w:pStyle w:val="56"/>
        <w:ind w:firstLine="420"/>
      </w:pPr>
      <w:r>
        <w:rPr>
          <w:rFonts w:hint="eastAsia"/>
        </w:rPr>
        <w:t>HJ 819 排污单位自行监测技术指南 总则</w:t>
      </w:r>
    </w:p>
    <w:p w14:paraId="45E0B2C7">
      <w:pPr>
        <w:pStyle w:val="56"/>
        <w:ind w:firstLine="420"/>
      </w:pPr>
      <w:r>
        <w:rPr>
          <w:rFonts w:hint="eastAsia"/>
        </w:rPr>
        <w:t>HJ 1208 排污单位自行监测技术指南 有色金属工业—再生金属</w:t>
      </w:r>
    </w:p>
    <w:p w14:paraId="58374B57">
      <w:pPr>
        <w:pStyle w:val="56"/>
        <w:ind w:firstLine="420"/>
      </w:pPr>
      <w:r>
        <w:rPr>
          <w:rFonts w:hint="eastAsia"/>
        </w:rPr>
        <w:t>HJ 1250 排污单位自行监测技术指南 工业固体废物和危险废物治理</w:t>
      </w:r>
    </w:p>
    <w:p w14:paraId="5C523AA5">
      <w:pPr>
        <w:pStyle w:val="56"/>
        <w:ind w:firstLine="420"/>
      </w:pPr>
      <w:r>
        <w:rPr>
          <w:rFonts w:hint="eastAsia"/>
        </w:rPr>
        <w:t>HJ 1276 危险废物识别标志设置技术规范</w:t>
      </w:r>
    </w:p>
    <w:p w14:paraId="59A0B750">
      <w:pPr>
        <w:pStyle w:val="56"/>
        <w:ind w:firstLine="420"/>
      </w:pPr>
      <w:r>
        <w:rPr>
          <w:rFonts w:hint="eastAsia"/>
        </w:rPr>
        <w:t>H</w:t>
      </w:r>
      <w:r>
        <w:t xml:space="preserve">J 2025 </w:t>
      </w:r>
      <w:r>
        <w:rPr>
          <w:rFonts w:hint="eastAsia"/>
        </w:rPr>
        <w:t>危险废物收集、贮存、运输技术规范</w:t>
      </w:r>
    </w:p>
    <w:p w14:paraId="05A55D12">
      <w:pPr>
        <w:pStyle w:val="104"/>
        <w:spacing w:before="312" w:after="312"/>
      </w:pPr>
      <w:bookmarkStart w:id="46" w:name="_Toc170304493"/>
      <w:bookmarkStart w:id="47" w:name="_Toc97191425"/>
      <w:r>
        <w:rPr>
          <w:rFonts w:hint="eastAsia"/>
          <w:szCs w:val="21"/>
        </w:rPr>
        <w:t>术语和定义</w:t>
      </w:r>
      <w:bookmarkEnd w:id="46"/>
      <w:bookmarkEnd w:id="47"/>
    </w:p>
    <w:sdt>
      <w:sdtPr>
        <w:id w:val="-1909835108"/>
        <w:placeholder>
          <w:docPart w:val="1E12C043F5854029BC699B06DC99F28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3F02952">
          <w:pPr>
            <w:pStyle w:val="56"/>
            <w:ind w:firstLine="420"/>
          </w:pPr>
          <w:bookmarkStart w:id="48" w:name="_Toc26986532"/>
          <w:bookmarkEnd w:id="48"/>
          <w:r>
            <w:t>下列术语和定义适用于本文件。</w:t>
          </w:r>
        </w:p>
      </w:sdtContent>
    </w:sdt>
    <w:p w14:paraId="1F6E07F5">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含</w:t>
      </w:r>
      <w:r>
        <w:rPr>
          <w:rFonts w:hint="eastAsia" w:ascii="黑体" w:hAnsi="黑体" w:eastAsia="黑体"/>
        </w:rPr>
        <w:t>有色金属固体废</w:t>
      </w:r>
      <w:r>
        <w:rPr>
          <w:rFonts w:ascii="Times New Roman" w:eastAsia="黑体"/>
        </w:rPr>
        <w:t>物 non-ferrous metal contained solid waste</w:t>
      </w:r>
    </w:p>
    <w:p w14:paraId="5B33FB53">
      <w:pPr>
        <w:pStyle w:val="56"/>
        <w:ind w:firstLine="420"/>
      </w:pPr>
      <w:r>
        <w:rPr>
          <w:rFonts w:hint="eastAsia"/>
        </w:rPr>
        <w:t>在工业生产活动中产生的不具备直接利用价值并含有有色金属元素的固体废物。</w:t>
      </w:r>
    </w:p>
    <w:p w14:paraId="743D7744">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有色金属固体废物综合回收</w:t>
      </w:r>
      <w:r>
        <w:rPr>
          <w:rFonts w:ascii="Times New Roman" w:eastAsia="黑体"/>
        </w:rPr>
        <w:t>利用 recovery of non-ferrous metal contained solid waste</w:t>
      </w:r>
    </w:p>
    <w:p w14:paraId="75155CEB">
      <w:pPr>
        <w:pStyle w:val="56"/>
        <w:ind w:firstLine="420"/>
      </w:pPr>
      <w:r>
        <w:rPr>
          <w:rFonts w:hint="eastAsia"/>
        </w:rPr>
        <w:t>将含有色金属固体废物进行分类，采取物理、化学、生物等处理方法，获取某一种或多种有价金属或者金属化合物等物质的过程。</w:t>
      </w:r>
    </w:p>
    <w:p w14:paraId="4F9A8EE4">
      <w:pPr>
        <w:pStyle w:val="104"/>
        <w:spacing w:before="312" w:after="312"/>
      </w:pPr>
      <w:bookmarkStart w:id="49" w:name="_Toc170304494"/>
      <w:bookmarkStart w:id="50" w:name="_Hlk170245774"/>
      <w:r>
        <w:rPr>
          <w:rFonts w:hint="eastAsia"/>
        </w:rPr>
        <w:t>总体要求</w:t>
      </w:r>
      <w:bookmarkEnd w:id="49"/>
    </w:p>
    <w:p w14:paraId="7768B3D7">
      <w:pPr>
        <w:pStyle w:val="162"/>
      </w:pPr>
      <w:r>
        <w:rPr>
          <w:rFonts w:hint="eastAsia"/>
        </w:rPr>
        <w:t>含有色金属固体废物在回收利用过程中应遵循环境安全优先的原则，在保证全过程环境安全的前提下实现固体废物的减量化、资源化、无害化，避免或减少二次污染。</w:t>
      </w:r>
    </w:p>
    <w:p w14:paraId="06C83858">
      <w:pPr>
        <w:pStyle w:val="162"/>
      </w:pPr>
      <w:r>
        <w:rPr>
          <w:rFonts w:hint="eastAsia"/>
        </w:rPr>
        <w:t>根据含有色金属固体废物的特点，科学分类、合理利用，提高固体废物中有色金属的回收利用率。不能利用时应采取无害化处置措施。</w:t>
      </w:r>
    </w:p>
    <w:p w14:paraId="4A263766">
      <w:pPr>
        <w:pStyle w:val="162"/>
      </w:pPr>
      <w:r>
        <w:t>结合国家产业技术政策进行回收利用技术选择，采用国家鼓励和推荐的综合利用和环境保护技术，并适时进行环境、能源和计量监测，及时发现并消除对环境造成的不良影响。</w:t>
      </w:r>
    </w:p>
    <w:p w14:paraId="37281D12">
      <w:pPr>
        <w:pStyle w:val="162"/>
      </w:pPr>
      <w:r>
        <w:t>有色金属固体废弃物的运输、贮存、填埋应符合</w:t>
      </w:r>
      <w:r>
        <w:rPr>
          <w:rFonts w:hint="eastAsia"/>
        </w:rPr>
        <w:t>H</w:t>
      </w:r>
      <w:r>
        <w:t>J 2025</w:t>
      </w:r>
      <w:r>
        <w:rPr>
          <w:rFonts w:hint="eastAsia"/>
        </w:rPr>
        <w:t>、</w:t>
      </w:r>
      <w:r>
        <w:t>GB18597、GB18598标准要求，半固态有色金属</w:t>
      </w:r>
      <w:r>
        <w:rPr>
          <w:rFonts w:hint="eastAsia"/>
        </w:rPr>
        <w:t>固体废物</w:t>
      </w:r>
      <w:r>
        <w:t>运输、储存时，应装入专用的桶、槽，防止因处置不善对环境产生污染。</w:t>
      </w:r>
    </w:p>
    <w:bookmarkEnd w:id="50"/>
    <w:p w14:paraId="18F00D4A">
      <w:pPr>
        <w:pStyle w:val="104"/>
        <w:spacing w:before="312" w:after="312"/>
      </w:pPr>
      <w:bookmarkStart w:id="51" w:name="_Toc170304495"/>
      <w:r>
        <w:rPr>
          <w:rFonts w:hint="eastAsia"/>
        </w:rPr>
        <w:t>入厂分析</w:t>
      </w:r>
      <w:bookmarkEnd w:id="51"/>
    </w:p>
    <w:p w14:paraId="4C3A89E0">
      <w:pPr>
        <w:pStyle w:val="162"/>
      </w:pPr>
      <w:r>
        <w:rPr>
          <w:rFonts w:hint="eastAsia"/>
        </w:rPr>
        <w:t>结合有色金属产生的行业与工艺，规范含有色金属固体废物的分类和主要来源，见表</w:t>
      </w:r>
      <w:r>
        <w:t>1</w:t>
      </w:r>
      <w:r>
        <w:rPr>
          <w:rFonts w:hint="eastAsia"/>
        </w:rPr>
        <w:t>。</w:t>
      </w:r>
    </w:p>
    <w:p w14:paraId="7CC846D7">
      <w:pPr>
        <w:pStyle w:val="162"/>
        <w:numPr>
          <w:ilvl w:val="0"/>
          <w:numId w:val="0"/>
        </w:numPr>
        <w:jc w:val="center"/>
      </w:pPr>
      <w:r>
        <w:rPr>
          <w:rFonts w:hint="eastAsia"/>
        </w:rPr>
        <w:t>表1</w:t>
      </w:r>
      <w:r>
        <w:t xml:space="preserve"> </w:t>
      </w:r>
      <w:r>
        <w:rPr>
          <w:rFonts w:hint="eastAsia"/>
        </w:rPr>
        <w:t>含有色金属固体废物的分类和主要来源</w:t>
      </w:r>
    </w:p>
    <w:tbl>
      <w:tblPr>
        <w:tblStyle w:val="27"/>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843"/>
        <w:gridCol w:w="7511"/>
      </w:tblGrid>
      <w:tr w14:paraId="611CC1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79" w:hRule="atLeast"/>
          <w:jc w:val="center"/>
        </w:trPr>
        <w:tc>
          <w:tcPr>
            <w:tcW w:w="1843" w:type="dxa"/>
            <w:tcBorders>
              <w:top w:val="single" w:color="auto" w:sz="8" w:space="0"/>
              <w:left w:val="nil"/>
              <w:bottom w:val="single" w:color="auto" w:sz="8" w:space="0"/>
              <w:right w:val="nil"/>
            </w:tcBorders>
            <w:shd w:val="clear" w:color="auto" w:fill="auto"/>
            <w:vAlign w:val="center"/>
          </w:tcPr>
          <w:p w14:paraId="2A529899">
            <w:pPr>
              <w:pStyle w:val="162"/>
              <w:numPr>
                <w:ilvl w:val="0"/>
                <w:numId w:val="0"/>
              </w:numPr>
              <w:jc w:val="center"/>
              <w:rPr>
                <w:b/>
                <w:bCs/>
              </w:rPr>
            </w:pPr>
            <w:r>
              <w:rPr>
                <w:rFonts w:hint="eastAsia"/>
                <w:b/>
                <w:bCs/>
              </w:rPr>
              <w:t>废物类型</w:t>
            </w:r>
          </w:p>
        </w:tc>
        <w:tc>
          <w:tcPr>
            <w:tcW w:w="7511" w:type="dxa"/>
            <w:tcBorders>
              <w:top w:val="single" w:color="auto" w:sz="8" w:space="0"/>
              <w:left w:val="nil"/>
              <w:bottom w:val="single" w:color="auto" w:sz="8" w:space="0"/>
              <w:right w:val="nil"/>
            </w:tcBorders>
            <w:shd w:val="clear" w:color="auto" w:fill="auto"/>
            <w:vAlign w:val="center"/>
          </w:tcPr>
          <w:p w14:paraId="3DB4EE0A">
            <w:pPr>
              <w:pStyle w:val="162"/>
              <w:numPr>
                <w:ilvl w:val="0"/>
                <w:numId w:val="0"/>
              </w:numPr>
              <w:jc w:val="center"/>
              <w:rPr>
                <w:b/>
                <w:bCs/>
              </w:rPr>
            </w:pPr>
            <w:r>
              <w:rPr>
                <w:rFonts w:hint="eastAsia"/>
                <w:b/>
                <w:bCs/>
              </w:rPr>
              <w:t>主要来源</w:t>
            </w:r>
          </w:p>
        </w:tc>
      </w:tr>
      <w:tr w14:paraId="159A1C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42" w:hRule="atLeast"/>
          <w:jc w:val="center"/>
        </w:trPr>
        <w:tc>
          <w:tcPr>
            <w:tcW w:w="1843" w:type="dxa"/>
            <w:tcBorders>
              <w:top w:val="single" w:color="auto" w:sz="8" w:space="0"/>
              <w:left w:val="nil"/>
              <w:bottom w:val="nil"/>
              <w:right w:val="nil"/>
            </w:tcBorders>
            <w:shd w:val="clear" w:color="auto" w:fill="auto"/>
            <w:vAlign w:val="center"/>
          </w:tcPr>
          <w:p w14:paraId="2747DE0A">
            <w:pPr>
              <w:pStyle w:val="162"/>
              <w:numPr>
                <w:ilvl w:val="0"/>
                <w:numId w:val="0"/>
              </w:numPr>
              <w:jc w:val="center"/>
            </w:pPr>
            <w:r>
              <w:rPr>
                <w:rFonts w:hint="eastAsia"/>
              </w:rPr>
              <w:t>残渣</w:t>
            </w:r>
          </w:p>
        </w:tc>
        <w:tc>
          <w:tcPr>
            <w:tcW w:w="7511" w:type="dxa"/>
            <w:tcBorders>
              <w:top w:val="single" w:color="auto" w:sz="8" w:space="0"/>
              <w:left w:val="nil"/>
              <w:bottom w:val="nil"/>
              <w:right w:val="nil"/>
            </w:tcBorders>
            <w:shd w:val="clear" w:color="auto" w:fill="auto"/>
            <w:vAlign w:val="center"/>
          </w:tcPr>
          <w:p w14:paraId="0B1DE9AC">
            <w:pPr>
              <w:pStyle w:val="162"/>
              <w:numPr>
                <w:ilvl w:val="0"/>
                <w:numId w:val="0"/>
              </w:numPr>
              <w:jc w:val="center"/>
            </w:pPr>
            <w:r>
              <w:rPr>
                <w:rFonts w:hint="eastAsia"/>
              </w:rPr>
              <w:t>金属冶炼、电子、制药等行业产生的含有色金属残渣</w:t>
            </w:r>
          </w:p>
        </w:tc>
      </w:tr>
      <w:tr w14:paraId="4066BF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843" w:type="dxa"/>
            <w:tcBorders>
              <w:top w:val="nil"/>
              <w:left w:val="nil"/>
              <w:bottom w:val="nil"/>
              <w:right w:val="nil"/>
            </w:tcBorders>
            <w:shd w:val="clear" w:color="auto" w:fill="auto"/>
            <w:vAlign w:val="center"/>
          </w:tcPr>
          <w:p w14:paraId="543B19B2">
            <w:pPr>
              <w:pStyle w:val="162"/>
              <w:numPr>
                <w:ilvl w:val="0"/>
                <w:numId w:val="0"/>
              </w:numPr>
              <w:jc w:val="center"/>
            </w:pPr>
            <w:r>
              <w:rPr>
                <w:rFonts w:hint="eastAsia"/>
              </w:rPr>
              <w:t>粉尘、烟尘</w:t>
            </w:r>
          </w:p>
        </w:tc>
        <w:tc>
          <w:tcPr>
            <w:tcW w:w="7511" w:type="dxa"/>
            <w:tcBorders>
              <w:top w:val="nil"/>
              <w:left w:val="nil"/>
              <w:bottom w:val="nil"/>
              <w:right w:val="nil"/>
            </w:tcBorders>
            <w:shd w:val="clear" w:color="auto" w:fill="auto"/>
            <w:vAlign w:val="center"/>
          </w:tcPr>
          <w:p w14:paraId="7A5595F5">
            <w:pPr>
              <w:pStyle w:val="162"/>
              <w:numPr>
                <w:ilvl w:val="0"/>
                <w:numId w:val="0"/>
              </w:numPr>
              <w:jc w:val="center"/>
            </w:pPr>
            <w:r>
              <w:rPr>
                <w:rFonts w:hint="eastAsia"/>
              </w:rPr>
              <w:t>金属冶炼、火法提取有价金属或其他固体废物再生利用过程中经除尘系统或烟道收集得到的粉状物质</w:t>
            </w:r>
          </w:p>
        </w:tc>
      </w:tr>
      <w:tr w14:paraId="4FEAE8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896" w:hRule="atLeast"/>
          <w:jc w:val="center"/>
        </w:trPr>
        <w:tc>
          <w:tcPr>
            <w:tcW w:w="1843" w:type="dxa"/>
            <w:tcBorders>
              <w:top w:val="nil"/>
              <w:left w:val="nil"/>
              <w:bottom w:val="nil"/>
              <w:right w:val="nil"/>
            </w:tcBorders>
            <w:shd w:val="clear" w:color="auto" w:fill="auto"/>
            <w:vAlign w:val="center"/>
          </w:tcPr>
          <w:p w14:paraId="40BE4640">
            <w:pPr>
              <w:pStyle w:val="162"/>
              <w:numPr>
                <w:ilvl w:val="0"/>
                <w:numId w:val="0"/>
              </w:numPr>
              <w:jc w:val="center"/>
            </w:pPr>
            <w:r>
              <w:rPr>
                <w:rFonts w:hint="eastAsia"/>
              </w:rPr>
              <w:t>废水处理渣、泥</w:t>
            </w:r>
          </w:p>
        </w:tc>
        <w:tc>
          <w:tcPr>
            <w:tcW w:w="7511" w:type="dxa"/>
            <w:tcBorders>
              <w:top w:val="nil"/>
              <w:left w:val="nil"/>
              <w:bottom w:val="nil"/>
              <w:right w:val="nil"/>
            </w:tcBorders>
            <w:shd w:val="clear" w:color="auto" w:fill="auto"/>
            <w:vAlign w:val="center"/>
          </w:tcPr>
          <w:p w14:paraId="5E99DE1D">
            <w:pPr>
              <w:pStyle w:val="162"/>
              <w:numPr>
                <w:ilvl w:val="0"/>
                <w:numId w:val="0"/>
              </w:numPr>
              <w:jc w:val="center"/>
            </w:pPr>
            <w:r>
              <w:rPr>
                <w:rFonts w:hint="eastAsia"/>
              </w:rPr>
              <w:t>金属表面处理、湿法冶金、印刷线路板、半导体、集成电路等行业中产生的含金属废液（或废水）处理得到的残渣，如含金属污泥</w:t>
            </w:r>
          </w:p>
        </w:tc>
      </w:tr>
      <w:tr w14:paraId="04EAC1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843" w:type="dxa"/>
            <w:tcBorders>
              <w:top w:val="nil"/>
              <w:left w:val="nil"/>
              <w:bottom w:val="single" w:color="auto" w:sz="8" w:space="0"/>
              <w:right w:val="nil"/>
            </w:tcBorders>
            <w:shd w:val="clear" w:color="auto" w:fill="auto"/>
            <w:vAlign w:val="center"/>
          </w:tcPr>
          <w:p w14:paraId="01EE505C">
            <w:pPr>
              <w:pStyle w:val="162"/>
              <w:numPr>
                <w:ilvl w:val="0"/>
                <w:numId w:val="0"/>
              </w:numPr>
              <w:jc w:val="center"/>
            </w:pPr>
            <w:r>
              <w:rPr>
                <w:rFonts w:hint="eastAsia"/>
              </w:rPr>
              <w:t>含有色金属废液</w:t>
            </w:r>
          </w:p>
        </w:tc>
        <w:tc>
          <w:tcPr>
            <w:tcW w:w="7511" w:type="dxa"/>
            <w:tcBorders>
              <w:top w:val="nil"/>
              <w:left w:val="nil"/>
              <w:bottom w:val="single" w:color="auto" w:sz="8" w:space="0"/>
              <w:right w:val="nil"/>
            </w:tcBorders>
            <w:shd w:val="clear" w:color="auto" w:fill="auto"/>
            <w:vAlign w:val="center"/>
          </w:tcPr>
          <w:p w14:paraId="2E8D7C6A">
            <w:pPr>
              <w:pStyle w:val="162"/>
              <w:numPr>
                <w:ilvl w:val="0"/>
                <w:numId w:val="0"/>
              </w:numPr>
              <w:jc w:val="center"/>
            </w:pPr>
            <w:r>
              <w:rPr>
                <w:rFonts w:hint="eastAsia"/>
              </w:rPr>
              <w:t>金属表面处理、石油炼化、印制线路板、集成电路等行业产生的含有色金属废液</w:t>
            </w:r>
          </w:p>
        </w:tc>
      </w:tr>
    </w:tbl>
    <w:p w14:paraId="3D151284">
      <w:pPr>
        <w:pStyle w:val="162"/>
      </w:pPr>
      <w:r>
        <w:rPr>
          <w:rFonts w:hint="eastAsia"/>
        </w:rPr>
        <w:t>综合利用企业应设置化验室，配备满足分析检测需要的检测能力，并制定检测方案，确定检测因子、方法及频次，检测方法应符合国家检测规范要求。</w:t>
      </w:r>
    </w:p>
    <w:p w14:paraId="6C7437C7">
      <w:pPr>
        <w:pStyle w:val="162"/>
      </w:pPr>
      <w:r>
        <w:rPr>
          <w:rFonts w:hint="eastAsia"/>
        </w:rPr>
        <w:t>应对照入厂接收标准，对入厂的每批次含有色金属固体废物进行成分分析；对同一来源、组分稳定的含有色金属固体废物可以减少检测频次，但每月不宜少于1次；应按照“一厂一档”方式建立固体废物电子数据库，数据保存10年以上。</w:t>
      </w:r>
    </w:p>
    <w:p w14:paraId="418CC7BA">
      <w:pPr>
        <w:pStyle w:val="104"/>
        <w:spacing w:before="312" w:after="312"/>
      </w:pPr>
      <w:bookmarkStart w:id="52" w:name="_Toc170304496"/>
      <w:r>
        <w:rPr>
          <w:rFonts w:hint="eastAsia"/>
        </w:rPr>
        <w:t>贮存</w:t>
      </w:r>
      <w:bookmarkEnd w:id="52"/>
    </w:p>
    <w:p w14:paraId="50D6FCC4">
      <w:pPr>
        <w:pStyle w:val="162"/>
      </w:pPr>
      <w:r>
        <w:rPr>
          <w:rFonts w:hint="eastAsia"/>
        </w:rPr>
        <w:t>含有色金属固体废物贮存应符合GB 18597、HJ 1276和HJ 2025的相关要求，包装容器应完好无损，地面、导流槽应无积液。</w:t>
      </w:r>
    </w:p>
    <w:p w14:paraId="62ABCF01">
      <w:pPr>
        <w:pStyle w:val="162"/>
      </w:pPr>
      <w:r>
        <w:rPr>
          <w:rFonts w:hint="eastAsia"/>
        </w:rPr>
        <w:t>应根据物料类别、形态、物理化学性质、环境风险等因素和污染防治要求对接收的固体废物、次生固体废物、综合利用产物进行分类、分区管理，贮存能力应满足稳定生产运行要求。</w:t>
      </w:r>
    </w:p>
    <w:p w14:paraId="74315777">
      <w:pPr>
        <w:pStyle w:val="162"/>
      </w:pPr>
      <w:r>
        <w:rPr>
          <w:rFonts w:hint="eastAsia"/>
        </w:rPr>
        <w:t>预处理车间及生产车间内的固体废物存放、配伍区域应采取有效的防渗、防腐、防漏措施，并采取必要的措施减少渗滤（漏）液、粉尘、挥发性有机物（VOCs）、酸雾、有毒有害大气污染物和刺激性气味气体等污染物的产生。装卸作业区域应采取防风、防雨、防漏措施。</w:t>
      </w:r>
    </w:p>
    <w:p w14:paraId="23F564F9">
      <w:pPr>
        <w:pStyle w:val="162"/>
      </w:pPr>
      <w:r>
        <w:rPr>
          <w:rFonts w:hint="eastAsia"/>
        </w:rPr>
        <w:t>预处理车间、生产车间等非贮存设施不应作为含有色金属固体废物的贮存设施。</w:t>
      </w:r>
    </w:p>
    <w:p w14:paraId="182F57C9">
      <w:pPr>
        <w:pStyle w:val="104"/>
        <w:spacing w:before="312" w:after="312"/>
      </w:pPr>
      <w:bookmarkStart w:id="53" w:name="_Toc170304497"/>
      <w:r>
        <w:rPr>
          <w:rFonts w:hint="eastAsia"/>
        </w:rPr>
        <w:t>工艺过程</w:t>
      </w:r>
      <w:bookmarkEnd w:id="53"/>
    </w:p>
    <w:p w14:paraId="6B477DC1">
      <w:pPr>
        <w:pStyle w:val="105"/>
        <w:spacing w:before="156" w:after="156"/>
      </w:pPr>
      <w:bookmarkStart w:id="54" w:name="_Toc170304498"/>
      <w:r>
        <w:rPr>
          <w:rFonts w:hint="eastAsia"/>
        </w:rPr>
        <w:t>一般要求</w:t>
      </w:r>
      <w:bookmarkEnd w:id="54"/>
    </w:p>
    <w:p w14:paraId="30B036BF">
      <w:pPr>
        <w:pStyle w:val="56"/>
        <w:numPr>
          <w:ilvl w:val="0"/>
          <w:numId w:val="32"/>
        </w:numPr>
        <w:ind w:left="442" w:hanging="442" w:firstLineChars="0"/>
      </w:pPr>
      <w:r>
        <w:rPr>
          <w:rFonts w:hint="eastAsia"/>
        </w:rPr>
        <w:t>含有色金属固体废物综合利用工艺应符合GB/T 41012的相关要求；含铜污泥综合利用工艺应符合GB/T 38101的相关要求；含锂废料综合利用工艺应符合GB/T 38103的相关要求；其他类别含有色金属固体废物有专用标准的，应符合专用标准的相关要求。</w:t>
      </w:r>
    </w:p>
    <w:p w14:paraId="73310AEF">
      <w:pPr>
        <w:pStyle w:val="56"/>
        <w:numPr>
          <w:ilvl w:val="0"/>
          <w:numId w:val="32"/>
        </w:numPr>
        <w:ind w:left="442" w:hanging="442" w:firstLineChars="0"/>
      </w:pPr>
      <w:r>
        <w:rPr>
          <w:rFonts w:hint="eastAsia"/>
        </w:rPr>
        <w:t>应根据含有色金属固体废物物理化学性质、工艺设备、综合利用产物及污染控制要求等制定综合利用进料标准，并进行配伍，确保综合利用产物环境风险可控、污染物达标排放。</w:t>
      </w:r>
    </w:p>
    <w:p w14:paraId="3B7D72F4">
      <w:pPr>
        <w:pStyle w:val="56"/>
        <w:numPr>
          <w:ilvl w:val="0"/>
          <w:numId w:val="32"/>
        </w:numPr>
        <w:ind w:left="442" w:hanging="442" w:firstLineChars="0"/>
      </w:pPr>
      <w:r>
        <w:rPr>
          <w:rFonts w:hint="eastAsia"/>
        </w:rPr>
        <w:t>应采用机械投料，并设置投料计量装置，投料计量装置应与工艺参数测定设备耦合并定期校准。</w:t>
      </w:r>
    </w:p>
    <w:p w14:paraId="56AFC558">
      <w:pPr>
        <w:pStyle w:val="105"/>
        <w:spacing w:before="156" w:after="156"/>
      </w:pPr>
      <w:bookmarkStart w:id="55" w:name="_Toc170304499"/>
      <w:r>
        <w:rPr>
          <w:rFonts w:hint="eastAsia"/>
        </w:rPr>
        <w:t>物理处理</w:t>
      </w:r>
      <w:bookmarkEnd w:id="55"/>
    </w:p>
    <w:p w14:paraId="30329E7B">
      <w:pPr>
        <w:pStyle w:val="56"/>
        <w:ind w:firstLine="420"/>
      </w:pPr>
      <w:r>
        <w:rPr>
          <w:rFonts w:hint="eastAsia"/>
        </w:rPr>
        <w:t>根据含有色金属固体废物的基本物理性质</w:t>
      </w:r>
      <w:r>
        <w:t>，通过物理方法改变废物形貌，但不破坏废物组成的一种处理方法，包括压实</w:t>
      </w:r>
      <w:r>
        <w:rPr>
          <w:rFonts w:hint="eastAsia"/>
        </w:rPr>
        <w:t>、</w:t>
      </w:r>
      <w:r>
        <w:t>破碎、筛分</w:t>
      </w:r>
      <w:r>
        <w:rPr>
          <w:rFonts w:hint="eastAsia"/>
        </w:rPr>
        <w:t>、</w:t>
      </w:r>
      <w:r>
        <w:t>分选</w:t>
      </w:r>
      <w:r>
        <w:rPr>
          <w:rFonts w:hint="eastAsia"/>
        </w:rPr>
        <w:t>、</w:t>
      </w:r>
      <w:r>
        <w:t>脱水、蒸发</w:t>
      </w:r>
      <w:r>
        <w:rPr>
          <w:rFonts w:hint="eastAsia"/>
        </w:rPr>
        <w:t>、</w:t>
      </w:r>
      <w:r>
        <w:t>萃取、吸附等方法。在回收和利用前，可对含有色金属</w:t>
      </w:r>
      <w:r>
        <w:rPr>
          <w:rFonts w:hint="eastAsia"/>
        </w:rPr>
        <w:t>固体废物</w:t>
      </w:r>
      <w:r>
        <w:t>进行必要的初始处理，主要包括破碎、分选等工艺过程。针对含有色金属污泥和半固态废渣，可利用压滤等方式进行机械脱水减量，或采用热烘炉、蒸汽烘干炉等设备进行干燥脱水减量。</w:t>
      </w:r>
    </w:p>
    <w:p w14:paraId="20F6A289">
      <w:pPr>
        <w:pStyle w:val="105"/>
        <w:spacing w:before="156" w:after="156"/>
      </w:pPr>
      <w:bookmarkStart w:id="56" w:name="_Toc170304500"/>
      <w:r>
        <w:rPr>
          <w:rFonts w:hint="eastAsia"/>
        </w:rPr>
        <w:t>化学处理</w:t>
      </w:r>
      <w:bookmarkEnd w:id="56"/>
    </w:p>
    <w:p w14:paraId="30C6310B">
      <w:pPr>
        <w:pStyle w:val="56"/>
        <w:ind w:firstLine="420"/>
      </w:pPr>
      <w:r>
        <w:rPr>
          <w:rFonts w:hint="eastAsia"/>
        </w:rPr>
        <w:t>根据含有色金属固体废物的基本化学性质</w:t>
      </w:r>
      <w:r>
        <w:t>，使其发生化学转化</w:t>
      </w:r>
      <w:r>
        <w:rPr>
          <w:rFonts w:hint="eastAsia"/>
        </w:rPr>
        <w:t>，</w:t>
      </w:r>
      <w:r>
        <w:t>从而获得有价金属或者金属化合物等物质的处理方法，包括氧化还原、电解、电积、萃取、分离，浸出等湿法冶金方法，以及焙烧，熔炼等火法冶金方法。典型的含有色金属</w:t>
      </w:r>
      <w:r>
        <w:rPr>
          <w:rFonts w:hint="eastAsia"/>
        </w:rPr>
        <w:t>固体废物</w:t>
      </w:r>
      <w:r>
        <w:t>利用工艺方法见附录A。</w:t>
      </w:r>
    </w:p>
    <w:p w14:paraId="3E545394">
      <w:pPr>
        <w:pStyle w:val="105"/>
        <w:spacing w:before="156" w:after="156"/>
      </w:pPr>
      <w:bookmarkStart w:id="57" w:name="_Toc170304501"/>
      <w:r>
        <w:rPr>
          <w:rFonts w:hint="eastAsia"/>
        </w:rPr>
        <w:t>生物处理</w:t>
      </w:r>
      <w:bookmarkEnd w:id="57"/>
    </w:p>
    <w:p w14:paraId="441733C6">
      <w:pPr>
        <w:pStyle w:val="56"/>
        <w:ind w:firstLine="420"/>
      </w:pPr>
      <w:r>
        <w:rPr>
          <w:rFonts w:hint="eastAsia"/>
        </w:rPr>
        <w:t>利用生物化学作用</w:t>
      </w:r>
      <w:r>
        <w:t>，对含有色金属</w:t>
      </w:r>
      <w:r>
        <w:rPr>
          <w:rFonts w:hint="eastAsia"/>
        </w:rPr>
        <w:t>固体废物</w:t>
      </w:r>
      <w:r>
        <w:t>进行处理，从而获得有价物质或能源的一种处理方法，如微生物冶金等。</w:t>
      </w:r>
    </w:p>
    <w:p w14:paraId="492A190F">
      <w:pPr>
        <w:pStyle w:val="104"/>
        <w:spacing w:before="312" w:after="312"/>
      </w:pPr>
      <w:bookmarkStart w:id="58" w:name="_Toc170304502"/>
      <w:r>
        <w:t>环境保护</w:t>
      </w:r>
      <w:r>
        <w:rPr>
          <w:rFonts w:hint="eastAsia"/>
        </w:rPr>
        <w:t>要求</w:t>
      </w:r>
      <w:bookmarkEnd w:id="58"/>
    </w:p>
    <w:p w14:paraId="6F101E07">
      <w:pPr>
        <w:pStyle w:val="105"/>
        <w:spacing w:before="156" w:after="156"/>
      </w:pPr>
      <w:bookmarkStart w:id="59" w:name="_Toc170304503"/>
      <w:r>
        <w:rPr>
          <w:rFonts w:hint="eastAsia"/>
        </w:rPr>
        <w:t>建设要求</w:t>
      </w:r>
      <w:bookmarkEnd w:id="59"/>
    </w:p>
    <w:p w14:paraId="585CDA9E">
      <w:pPr>
        <w:pStyle w:val="56"/>
        <w:ind w:firstLine="420"/>
      </w:pPr>
      <w:r>
        <w:rPr>
          <w:rFonts w:hint="eastAsia"/>
        </w:rPr>
        <w:t>含有色金属固体废物回收利用项目选址应符合生态保护红线要求</w:t>
      </w:r>
      <w:r>
        <w:t>，并结合环境质量现状和相关规划</w:t>
      </w:r>
      <w:r>
        <w:rPr>
          <w:rFonts w:hint="eastAsia"/>
        </w:rPr>
        <w:t>、功能区划要求</w:t>
      </w:r>
      <w:r>
        <w:t>，确定环境质量目标及相应的环境管控、污染物排放控制要求</w:t>
      </w:r>
      <w:r>
        <w:rPr>
          <w:rFonts w:hint="eastAsia"/>
        </w:rPr>
        <w:t>；</w:t>
      </w:r>
      <w:r>
        <w:t>项目应能维持环境质量稳定且不应低于大气、土壤和水的环境质量标准。项目应按照环境保护“三同时”要求，建设配套环境保护设施，并依法申请项目竣工环境保护验收。</w:t>
      </w:r>
    </w:p>
    <w:p w14:paraId="7D3BC4C6">
      <w:pPr>
        <w:pStyle w:val="105"/>
        <w:spacing w:before="156" w:after="156"/>
      </w:pPr>
      <w:bookmarkStart w:id="60" w:name="_Toc170304504"/>
      <w:r>
        <w:rPr>
          <w:rFonts w:hint="eastAsia"/>
        </w:rPr>
        <w:t>污染控制要求</w:t>
      </w:r>
      <w:bookmarkEnd w:id="60"/>
    </w:p>
    <w:p w14:paraId="78F8D6EA">
      <w:pPr>
        <w:pStyle w:val="65"/>
        <w:spacing w:before="156" w:after="156"/>
      </w:pPr>
      <w:bookmarkStart w:id="61" w:name="_Hlk170246824"/>
      <w:r>
        <w:t>废水污染控制</w:t>
      </w:r>
    </w:p>
    <w:p w14:paraId="7D59B9ED">
      <w:pPr>
        <w:pStyle w:val="56"/>
        <w:ind w:firstLine="420"/>
      </w:pPr>
      <w:r>
        <w:rPr>
          <w:rFonts w:hint="eastAsia"/>
        </w:rPr>
        <w:t>有色行业固体废物回收处理处置过程废水应雨污分流、清污分流、分质处理，清水循环利用，污水应根据情况考虑实行中水回用，减少新水消耗量，降低废水外排量。废水排放应符合《污水综合排放标准》</w:t>
      </w:r>
      <w:r>
        <w:t>(GB8978)或行业、地方排放标准的要求。</w:t>
      </w:r>
    </w:p>
    <w:bookmarkEnd w:id="61"/>
    <w:p w14:paraId="763EC117">
      <w:pPr>
        <w:pStyle w:val="65"/>
        <w:spacing w:before="156" w:after="156"/>
      </w:pPr>
      <w:r>
        <w:t>废气污染控制</w:t>
      </w:r>
    </w:p>
    <w:p w14:paraId="60828345">
      <w:pPr>
        <w:pStyle w:val="56"/>
        <w:ind w:firstLine="420"/>
      </w:pPr>
      <w:r>
        <w:rPr>
          <w:rFonts w:hint="eastAsia"/>
        </w:rPr>
        <w:t>有色行业固体废物回收处理处置过程应配套废气净化处理装置，对废气进行收集处理，废气净化处理技术的选择应充分考虑废气污染物特性。根据废物回收处理处置方法的不同</w:t>
      </w:r>
      <w:r>
        <w:t>，废气排放应相应满足《危险废物焚烧污染控制标准》(GB18484)、《大气污染物综合排放标准》(GB16297)、《水泥窑协同处置固体废物污染控制标准》(GB30485)、《再生铜、铝、铅、锌工业污染物排放标准》(GB31574)、《工业炉窑大气污染物排放标准》(GB9078)或行业、地方排放标准的要求。</w:t>
      </w:r>
    </w:p>
    <w:p w14:paraId="09F2C7E9">
      <w:pPr>
        <w:pStyle w:val="65"/>
        <w:spacing w:before="156" w:after="156"/>
      </w:pPr>
      <w:r>
        <w:rPr>
          <w:rFonts w:hint="eastAsia"/>
        </w:rPr>
        <w:t>废渣处理</w:t>
      </w:r>
    </w:p>
    <w:p w14:paraId="41EBE0F4">
      <w:pPr>
        <w:pStyle w:val="56"/>
        <w:ind w:firstLine="420"/>
      </w:pPr>
      <w:r>
        <w:rPr>
          <w:rFonts w:hint="eastAsia"/>
        </w:rPr>
        <w:t>有色行业固体废物回收处理处置过程产生的废渣鼓励优先考虑综合利用或循环利用</w:t>
      </w:r>
      <w:r>
        <w:t>，应按GB 34330和GB 5085(所有部分)的规定进行鉴别，并符合下列规定：</w:t>
      </w:r>
    </w:p>
    <w:p w14:paraId="1121CA09">
      <w:pPr>
        <w:pStyle w:val="174"/>
        <w:numPr>
          <w:ilvl w:val="0"/>
          <w:numId w:val="33"/>
        </w:numPr>
      </w:pPr>
      <w:r>
        <w:t>经鉴别属于危险废物的</w:t>
      </w:r>
      <w:r>
        <w:rPr>
          <w:rFonts w:hint="eastAsia"/>
        </w:rPr>
        <w:t>，</w:t>
      </w:r>
      <w:r>
        <w:t>应按GB 18597和HJ 2025的要求进行收集、贮存、运输，并交出有资</w:t>
      </w:r>
      <w:r>
        <w:rPr>
          <w:rFonts w:hint="eastAsia"/>
        </w:rPr>
        <w:t>质单位进行处理。</w:t>
      </w:r>
    </w:p>
    <w:p w14:paraId="58506321">
      <w:pPr>
        <w:pStyle w:val="174"/>
      </w:pPr>
      <w:r>
        <w:t>经鉴别属于一般工业固体废物的，应进行进一步处理利用，或按照GB 18599的要求进行贮</w:t>
      </w:r>
      <w:r>
        <w:rPr>
          <w:rFonts w:hint="eastAsia"/>
        </w:rPr>
        <w:t>存、</w:t>
      </w:r>
      <w:r>
        <w:t>填理。</w:t>
      </w:r>
    </w:p>
    <w:p w14:paraId="1EF7DB1B">
      <w:pPr>
        <w:pStyle w:val="65"/>
        <w:spacing w:before="156" w:after="156"/>
      </w:pPr>
      <w:r>
        <w:t>噪声污染控制</w:t>
      </w:r>
    </w:p>
    <w:p w14:paraId="259D66CA">
      <w:pPr>
        <w:pStyle w:val="56"/>
        <w:ind w:firstLine="420"/>
      </w:pPr>
      <w:r>
        <w:rPr>
          <w:rFonts w:hint="eastAsia"/>
        </w:rPr>
        <w:t>有色行业固体废物回收处理处置应选用低噪声设备</w:t>
      </w:r>
      <w:r>
        <w:t>，生产过程中噪声污染大的设施须采用降噪或隔音措施，并通过规划及优化平面布置等措施，使噪声污染防治达到《工业企业厂界环境噪声排放标准》要求。</w:t>
      </w:r>
    </w:p>
    <w:p w14:paraId="227D0DE7">
      <w:pPr>
        <w:pStyle w:val="104"/>
        <w:spacing w:before="312" w:after="312"/>
      </w:pPr>
      <w:bookmarkStart w:id="62" w:name="_Toc170304505"/>
      <w:r>
        <w:t>产物</w:t>
      </w:r>
      <w:r>
        <w:rPr>
          <w:rFonts w:hint="eastAsia"/>
        </w:rPr>
        <w:t>管理要求</w:t>
      </w:r>
      <w:bookmarkEnd w:id="62"/>
    </w:p>
    <w:p w14:paraId="328B2B70">
      <w:pPr>
        <w:pStyle w:val="105"/>
        <w:spacing w:before="156" w:after="156"/>
      </w:pPr>
      <w:bookmarkStart w:id="63" w:name="_Toc170304506"/>
      <w:r>
        <w:rPr>
          <w:rFonts w:hint="eastAsia"/>
        </w:rPr>
        <w:t>综合利用要求</w:t>
      </w:r>
      <w:bookmarkEnd w:id="63"/>
    </w:p>
    <w:p w14:paraId="200E3D55">
      <w:pPr>
        <w:pStyle w:val="165"/>
      </w:pPr>
      <w:r>
        <w:t>含有色金属</w:t>
      </w:r>
      <w:r>
        <w:rPr>
          <w:rFonts w:hint="eastAsia"/>
        </w:rPr>
        <w:t>固体废物</w:t>
      </w:r>
      <w:r>
        <w:t>回收利用产物，符合国家、地方制定或行业通行的被替代原料生产的产品质量标准的，满足</w:t>
      </w:r>
      <w:r>
        <w:rPr>
          <w:rFonts w:hint="eastAsia"/>
        </w:rPr>
        <w:t>固体废物</w:t>
      </w:r>
      <w:r>
        <w:t>污染环境防治技术标准及后续环境管理要求和下游产业技术要求，并有稳定市场需求的，宜按产品管理。</w:t>
      </w:r>
      <w:r>
        <w:rPr>
          <w:rFonts w:hint="eastAsia"/>
        </w:rPr>
        <w:t>（注：如金属锭、金属化合物等）</w:t>
      </w:r>
    </w:p>
    <w:p w14:paraId="5D53B0F5">
      <w:pPr>
        <w:pStyle w:val="165"/>
      </w:pPr>
      <w:r>
        <w:t>经化学浸出、沉淀、脱水、烘干处理后得到的金属富集物，可作为下游产业原辅料利用的，参照相应原辅料的要求进行管理。</w:t>
      </w:r>
    </w:p>
    <w:p w14:paraId="6EB880FE">
      <w:pPr>
        <w:pStyle w:val="165"/>
      </w:pPr>
      <w:r>
        <w:t>含有色金属</w:t>
      </w:r>
      <w:r>
        <w:rPr>
          <w:rFonts w:hint="eastAsia"/>
        </w:rPr>
        <w:t>固体废物</w:t>
      </w:r>
      <w:r>
        <w:t>回收处理产物，满足</w:t>
      </w:r>
      <w:r>
        <w:rPr>
          <w:rFonts w:hint="eastAsia"/>
        </w:rPr>
        <w:t>固体废物</w:t>
      </w:r>
      <w:r>
        <w:t>综合利用标准和污染防治标准要求，并同时</w:t>
      </w:r>
      <w:r>
        <w:rPr>
          <w:rFonts w:hint="eastAsia"/>
        </w:rPr>
        <w:t>满足使用方技术要求的</w:t>
      </w:r>
      <w:r>
        <w:t>，可作为制备建筑材料的添加料，或作为制轻质骨料，陶瓷材料，磁性材料等的原料或配料。</w:t>
      </w:r>
    </w:p>
    <w:p w14:paraId="37396FE2">
      <w:pPr>
        <w:pStyle w:val="105"/>
        <w:spacing w:before="156" w:after="156"/>
      </w:pPr>
      <w:bookmarkStart w:id="64" w:name="_Toc170304507"/>
      <w:r>
        <w:rPr>
          <w:rFonts w:hint="eastAsia"/>
        </w:rPr>
        <w:t>最终处置要求</w:t>
      </w:r>
      <w:bookmarkEnd w:id="64"/>
    </w:p>
    <w:p w14:paraId="31860240">
      <w:pPr>
        <w:pStyle w:val="165"/>
      </w:pPr>
      <w:r>
        <w:t>含有色金属</w:t>
      </w:r>
      <w:r>
        <w:rPr>
          <w:rFonts w:hint="eastAsia"/>
        </w:rPr>
        <w:t>固体废物</w:t>
      </w:r>
      <w:r>
        <w:t>处理处置产物，不符合相关产品国家或行业标准，没有稳定的市场需求的，根据危险废物管理相关规定判定为危险废物的，应按照危险废物管理。</w:t>
      </w:r>
    </w:p>
    <w:p w14:paraId="7D112039">
      <w:pPr>
        <w:pStyle w:val="165"/>
      </w:pPr>
      <w:r>
        <w:t>满足水泥窑或其他工业炉窑</w:t>
      </w:r>
      <w:r>
        <w:rPr>
          <w:rFonts w:hint="eastAsia"/>
        </w:rPr>
        <w:t>入</w:t>
      </w:r>
      <w:r>
        <w:t>窑要求的，可采用水泥窑或其他工业炉窑进行协同处置。</w:t>
      </w:r>
    </w:p>
    <w:p w14:paraId="150E15C8">
      <w:pPr>
        <w:pStyle w:val="165"/>
      </w:pPr>
      <w:r>
        <w:t xml:space="preserve">采用高温熔融(温度≥1200 </w:t>
      </w:r>
      <w:r>
        <w:rPr>
          <w:rFonts w:hint="eastAsia" w:hAnsi="宋体" w:cs="宋体"/>
        </w:rPr>
        <w:t>℃</w:t>
      </w:r>
      <w:r>
        <w:t>)方法对含有色金属</w:t>
      </w:r>
      <w:r>
        <w:rPr>
          <w:rFonts w:hint="eastAsia"/>
        </w:rPr>
        <w:t>固体废物</w:t>
      </w:r>
      <w:r>
        <w:t>进行处理，形成的玻璃态物质的处理、处置和利用应按GB/T 41015的规定进行。</w:t>
      </w:r>
    </w:p>
    <w:p w14:paraId="586662DC">
      <w:pPr>
        <w:pStyle w:val="165"/>
      </w:pPr>
      <w:r>
        <w:t>对不具有利用价值、需进行填埋处置的处理产物，应根据其属性进入相应类别的填理场。</w:t>
      </w:r>
    </w:p>
    <w:p w14:paraId="6AEB7D84">
      <w:pPr>
        <w:pStyle w:val="104"/>
        <w:spacing w:before="312" w:after="312"/>
      </w:pPr>
      <w:bookmarkStart w:id="65" w:name="_Toc170304508"/>
      <w:r>
        <w:rPr>
          <w:rFonts w:hint="eastAsia"/>
        </w:rPr>
        <w:t>运行管理</w:t>
      </w:r>
      <w:bookmarkEnd w:id="65"/>
    </w:p>
    <w:p w14:paraId="673B2ADC">
      <w:pPr>
        <w:pStyle w:val="105"/>
        <w:spacing w:before="156" w:after="156"/>
      </w:pPr>
      <w:bookmarkStart w:id="66" w:name="_Toc170304509"/>
      <w:r>
        <w:rPr>
          <w:rFonts w:hint="eastAsia"/>
        </w:rPr>
        <w:t>企业管理要求</w:t>
      </w:r>
      <w:bookmarkEnd w:id="66"/>
    </w:p>
    <w:p w14:paraId="63E82824">
      <w:pPr>
        <w:pStyle w:val="56"/>
        <w:ind w:firstLine="420"/>
      </w:pPr>
      <w:r>
        <w:rPr>
          <w:rFonts w:hint="eastAsia"/>
        </w:rPr>
        <w:t>含有色金属固体废物回收利用企业应具备下列基本要求：</w:t>
      </w:r>
    </w:p>
    <w:p w14:paraId="5C58CE55">
      <w:pPr>
        <w:pStyle w:val="174"/>
        <w:numPr>
          <w:ilvl w:val="0"/>
          <w:numId w:val="34"/>
        </w:numPr>
        <w:ind w:left="442" w:hanging="442"/>
      </w:pPr>
      <w:r>
        <w:t>属于依法成立，具有有色金属</w:t>
      </w:r>
      <w:r>
        <w:rPr>
          <w:rFonts w:hint="eastAsia"/>
        </w:rPr>
        <w:t>固体废物</w:t>
      </w:r>
      <w:r>
        <w:t>综合利用经营范围的企业法人资质。</w:t>
      </w:r>
    </w:p>
    <w:p w14:paraId="55F08A3D">
      <w:pPr>
        <w:pStyle w:val="174"/>
        <w:numPr>
          <w:ilvl w:val="0"/>
          <w:numId w:val="34"/>
        </w:numPr>
        <w:ind w:left="442" w:hanging="442"/>
      </w:pPr>
      <w:r>
        <w:t>应配置同组织规模和有色金属</w:t>
      </w:r>
      <w:r>
        <w:rPr>
          <w:rFonts w:hint="eastAsia"/>
        </w:rPr>
        <w:t>固体废物</w:t>
      </w:r>
      <w:r>
        <w:t>综合利用项目类型相适宜的管理人员、专业技术人员、</w:t>
      </w:r>
      <w:r>
        <w:rPr>
          <w:rFonts w:hint="eastAsia"/>
        </w:rPr>
        <w:t>技术工人等人员。相关工</w:t>
      </w:r>
      <w:r>
        <w:t>作人员和管理人员应当掌握国家相关政策法规、标准规范的规定。</w:t>
      </w:r>
    </w:p>
    <w:p w14:paraId="07F42D91">
      <w:pPr>
        <w:pStyle w:val="174"/>
        <w:numPr>
          <w:ilvl w:val="0"/>
          <w:numId w:val="34"/>
        </w:numPr>
        <w:ind w:left="442" w:hanging="442"/>
      </w:pPr>
      <w:r>
        <w:t>应有固定场所和必要的回收、贮存</w:t>
      </w:r>
      <w:r>
        <w:rPr>
          <w:rFonts w:hint="eastAsia"/>
        </w:rPr>
        <w:t>、</w:t>
      </w:r>
      <w:r>
        <w:t>处理和环保及安全设施设备，达到国家或地方环境保护、安</w:t>
      </w:r>
      <w:r>
        <w:rPr>
          <w:rFonts w:hint="eastAsia"/>
        </w:rPr>
        <w:t>全防护相关标准规范的要求。</w:t>
      </w:r>
    </w:p>
    <w:p w14:paraId="3D84BA44">
      <w:pPr>
        <w:pStyle w:val="174"/>
        <w:numPr>
          <w:ilvl w:val="0"/>
          <w:numId w:val="34"/>
        </w:numPr>
        <w:ind w:left="442" w:hanging="442"/>
      </w:pPr>
      <w:r>
        <w:t>建设项目应符合环境保护管理有关规定，防治污染和其他公害的设施及其他环境保护设施，必须与主体工程同时设计、同时施工、同时投产使用。</w:t>
      </w:r>
    </w:p>
    <w:p w14:paraId="27EA8B16">
      <w:pPr>
        <w:pStyle w:val="174"/>
        <w:numPr>
          <w:ilvl w:val="0"/>
          <w:numId w:val="34"/>
        </w:numPr>
        <w:ind w:left="442" w:hanging="442"/>
      </w:pPr>
      <w:r>
        <w:t>应有健全的人员管理、生产管理，质量管理、安全应急管理和环境管理等管理制度或管理休系。</w:t>
      </w:r>
    </w:p>
    <w:p w14:paraId="6BE6904C">
      <w:pPr>
        <w:pStyle w:val="174"/>
        <w:numPr>
          <w:ilvl w:val="0"/>
          <w:numId w:val="34"/>
        </w:numPr>
        <w:ind w:left="442" w:hanging="442"/>
      </w:pPr>
      <w:r>
        <w:t>处理</w:t>
      </w:r>
      <w:r>
        <w:rPr>
          <w:rFonts w:hint="eastAsia"/>
        </w:rPr>
        <w:t>固体废物</w:t>
      </w:r>
      <w:r>
        <w:t>数量应与回收利用能力和污染防治能力相适应。</w:t>
      </w:r>
    </w:p>
    <w:p w14:paraId="073AB47D">
      <w:pPr>
        <w:pStyle w:val="105"/>
        <w:spacing w:before="156" w:after="156"/>
      </w:pPr>
      <w:bookmarkStart w:id="67" w:name="_Toc170304510"/>
      <w:r>
        <w:rPr>
          <w:rFonts w:hint="eastAsia"/>
        </w:rPr>
        <w:t>监测要求</w:t>
      </w:r>
      <w:bookmarkEnd w:id="67"/>
    </w:p>
    <w:p w14:paraId="722AE311">
      <w:pPr>
        <w:pStyle w:val="56"/>
        <w:numPr>
          <w:ilvl w:val="0"/>
          <w:numId w:val="35"/>
        </w:numPr>
        <w:ind w:left="442" w:hanging="442" w:firstLineChars="0"/>
      </w:pPr>
      <w:r>
        <w:rPr>
          <w:rFonts w:hint="eastAsia"/>
        </w:rPr>
        <w:t>应根据HJ 819、HJ 1208、HJ 1250等的相关要求编制自行监测方案，开展自行监测，保存原始监测记录。</w:t>
      </w:r>
    </w:p>
    <w:p w14:paraId="72560433">
      <w:pPr>
        <w:pStyle w:val="56"/>
        <w:numPr>
          <w:ilvl w:val="0"/>
          <w:numId w:val="35"/>
        </w:numPr>
        <w:ind w:left="442" w:hanging="442" w:firstLineChars="0"/>
      </w:pPr>
      <w:r>
        <w:rPr>
          <w:rFonts w:hint="eastAsia"/>
        </w:rPr>
        <w:t>应根据自行监测方案对场址和设施周边的大气、地表水、地下水和土壤开展自行监测，含有色金属固体废物综合利用过程不应对周边环境造成二次污染。</w:t>
      </w:r>
    </w:p>
    <w:p w14:paraId="68EC107C">
      <w:pPr>
        <w:pStyle w:val="56"/>
        <w:numPr>
          <w:ilvl w:val="0"/>
          <w:numId w:val="35"/>
        </w:numPr>
        <w:ind w:left="442" w:hanging="442" w:firstLineChars="0"/>
      </w:pPr>
      <w:r>
        <w:rPr>
          <w:rFonts w:hint="eastAsia"/>
        </w:rPr>
        <w:t>企业发生事故，可能造成土壤污染的，应依法做好土壤污染状况监测、调查和土壤污染风险评估、风险管控、修复等工作。</w:t>
      </w:r>
    </w:p>
    <w:p w14:paraId="43415DE8">
      <w:pPr>
        <w:pStyle w:val="56"/>
        <w:numPr>
          <w:ilvl w:val="0"/>
          <w:numId w:val="35"/>
        </w:numPr>
        <w:ind w:left="442" w:hanging="442" w:firstLineChars="0"/>
      </w:pPr>
      <w:r>
        <w:rPr>
          <w:rFonts w:hint="eastAsia"/>
        </w:rPr>
        <w:t>企业废水排放口的设置应符合排污许可证以及管理部门的规定。雨水排放口宜安装在线监测系统，监测项目宜包括流量、pH值、COD、氨氮等；每月有雨水流水排放时应开展一次手工监测，监测指标应包括pH值、COD、氨氮、总磷、悬浮物及铬、镍、铜、锌、砷、镉、汞、铅等特征污染物。</w:t>
      </w:r>
    </w:p>
    <w:p w14:paraId="3DBC6699">
      <w:pPr>
        <w:pStyle w:val="56"/>
        <w:numPr>
          <w:ilvl w:val="0"/>
          <w:numId w:val="35"/>
        </w:numPr>
        <w:ind w:left="442" w:hanging="442" w:firstLineChars="0"/>
      </w:pPr>
      <w:r>
        <w:rPr>
          <w:rFonts w:hint="eastAsia"/>
        </w:rPr>
        <w:t>采用火法冶炼工艺的企业干化、烧结、熔炼等工段产生的烟气应配备在线监测系统，监测指标应包括颗粒物、二氧化硫、氮氧化物等。</w:t>
      </w:r>
    </w:p>
    <w:p w14:paraId="7FB8C2D6">
      <w:pPr>
        <w:pStyle w:val="105"/>
        <w:spacing w:before="156" w:after="156"/>
      </w:pPr>
      <w:bookmarkStart w:id="68" w:name="_Toc170304511"/>
      <w:r>
        <w:rPr>
          <w:rFonts w:hint="eastAsia"/>
        </w:rPr>
        <w:t>信息公开</w:t>
      </w:r>
      <w:bookmarkEnd w:id="68"/>
    </w:p>
    <w:p w14:paraId="6E1781FA">
      <w:pPr>
        <w:pStyle w:val="56"/>
        <w:numPr>
          <w:ilvl w:val="0"/>
          <w:numId w:val="36"/>
        </w:numPr>
        <w:ind w:left="442" w:hanging="442" w:firstLineChars="0"/>
      </w:pPr>
      <w:r>
        <w:rPr>
          <w:rFonts w:hint="eastAsia"/>
        </w:rPr>
        <w:t>应按照排污许可证等国家及地方相关规定，定期在全国排污许可证管理信息平台、厂区对外公布的企业信息栏或官方网站上如实公开污染物排放种类、排放浓度和排放量，以及污染防治设施的建设运行情况、排污许可证执行报告、自行监测数据等污染物排放信息，接受社会监督。</w:t>
      </w:r>
    </w:p>
    <w:p w14:paraId="16E245CA">
      <w:pPr>
        <w:pStyle w:val="56"/>
        <w:numPr>
          <w:ilvl w:val="0"/>
          <w:numId w:val="36"/>
        </w:numPr>
        <w:ind w:left="442" w:hanging="442" w:firstLineChars="0"/>
      </w:pPr>
      <w:r>
        <w:rPr>
          <w:rFonts w:hint="eastAsia"/>
        </w:rPr>
        <w:t>应在官方网站或公共媒体上按季度公开综合利用产物相关信息，包括执行的质量标准及污染控制标准、主要有害杂质含量、综合利用产物流向等，按年度公开使用综合利用产物的企业相关信息，包括综合利用产物的来源、接收量、使用量、贮存量、使用方式等。</w:t>
      </w:r>
    </w:p>
    <w:p w14:paraId="019C1481">
      <w:pPr>
        <w:pStyle w:val="56"/>
        <w:numPr>
          <w:ilvl w:val="0"/>
          <w:numId w:val="36"/>
        </w:numPr>
        <w:ind w:left="442" w:hanging="442" w:firstLineChars="0"/>
        <w:jc w:val="left"/>
      </w:pPr>
      <w:r>
        <w:rPr>
          <w:rFonts w:hint="eastAsia"/>
        </w:rPr>
        <w:t>每年应定期向社会发布企业年度环境报告。</w:t>
      </w:r>
      <w:r>
        <w:br w:type="page"/>
      </w:r>
    </w:p>
    <w:bookmarkEnd w:id="24"/>
    <w:p w14:paraId="5BCB3C3A">
      <w:pPr>
        <w:pStyle w:val="198"/>
        <w:rPr>
          <w:vanish w:val="0"/>
        </w:rPr>
      </w:pPr>
      <w:bookmarkStart w:id="69" w:name="BookMark5"/>
    </w:p>
    <w:p w14:paraId="1ED27316">
      <w:pPr>
        <w:pStyle w:val="199"/>
        <w:rPr>
          <w:vanish w:val="0"/>
        </w:rPr>
      </w:pPr>
    </w:p>
    <w:p w14:paraId="0A95D528">
      <w:pPr>
        <w:pStyle w:val="76"/>
        <w:spacing w:after="156"/>
      </w:pPr>
      <w:r>
        <w:br w:type="textWrapping"/>
      </w:r>
      <w:bookmarkStart w:id="70" w:name="_Toc170304512"/>
      <w:r>
        <w:rPr>
          <w:rFonts w:hint="eastAsia"/>
        </w:rPr>
        <w:t>（资料性）</w:t>
      </w:r>
      <w:r>
        <w:br w:type="textWrapping"/>
      </w:r>
      <w:r>
        <w:rPr>
          <w:rFonts w:hint="eastAsia"/>
        </w:rPr>
        <w:t>典型含有色金属固体废物利用工艺方法</w:t>
      </w:r>
      <w:bookmarkEnd w:id="70"/>
    </w:p>
    <w:p w14:paraId="311F21EB">
      <w:pPr>
        <w:pStyle w:val="56"/>
        <w:ind w:firstLine="420"/>
      </w:pPr>
    </w:p>
    <w:p w14:paraId="12650BAA">
      <w:pPr>
        <w:pStyle w:val="56"/>
        <w:ind w:firstLine="422"/>
        <w:rPr>
          <w:b/>
          <w:bCs/>
        </w:rPr>
      </w:pPr>
      <w:r>
        <w:rPr>
          <w:rFonts w:hint="eastAsia"/>
          <w:b/>
          <w:bCs/>
        </w:rPr>
        <w:t>A</w:t>
      </w:r>
      <w:r>
        <w:rPr>
          <w:b/>
          <w:bCs/>
        </w:rPr>
        <w:t xml:space="preserve">.1 </w:t>
      </w:r>
      <w:r>
        <w:rPr>
          <w:rFonts w:hint="eastAsia"/>
          <w:b/>
          <w:bCs/>
        </w:rPr>
        <w:t>含铜/镍污泥</w:t>
      </w:r>
    </w:p>
    <w:p w14:paraId="497D43B0">
      <w:pPr>
        <w:pStyle w:val="56"/>
        <w:ind w:firstLine="420"/>
      </w:pPr>
      <w:r>
        <w:rPr>
          <w:rFonts w:hint="eastAsia"/>
        </w:rPr>
        <w:t>工艺1：</w:t>
      </w:r>
      <w:r>
        <w:t>含铜/含镍污泥一般含水率较高，通常大于60%，首先进行烘干脱水减量</w:t>
      </w:r>
      <w:r>
        <w:rPr>
          <w:rFonts w:hint="eastAsia"/>
        </w:rPr>
        <w:t>，</w:t>
      </w:r>
      <w:r>
        <w:t>然后进行焙烧，再在熔炼炉中还原熔炼</w:t>
      </w:r>
      <w:r>
        <w:rPr>
          <w:rFonts w:hint="eastAsia"/>
        </w:rPr>
        <w:t>，</w:t>
      </w:r>
      <w:r>
        <w:t>熔炼后得到金属锭</w:t>
      </w:r>
      <w:r>
        <w:rPr>
          <w:rFonts w:hint="eastAsia"/>
        </w:rPr>
        <w:t>，</w:t>
      </w:r>
      <w:r>
        <w:t>金属锭可以送往下游的铜冶炼厂的原料进行冶炼。见图A.1。</w:t>
      </w:r>
    </w:p>
    <w:p w14:paraId="659A82FD">
      <w:pPr>
        <w:pStyle w:val="56"/>
        <w:ind w:firstLine="420"/>
      </w:pPr>
      <w:r>
        <w:drawing>
          <wp:inline distT="0" distB="0" distL="0" distR="0">
            <wp:extent cx="5278120" cy="335280"/>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8120" cy="335280"/>
                    </a:xfrm>
                    <a:prstGeom prst="rect">
                      <a:avLst/>
                    </a:prstGeom>
                    <a:noFill/>
                    <a:ln>
                      <a:noFill/>
                    </a:ln>
                  </pic:spPr>
                </pic:pic>
              </a:graphicData>
            </a:graphic>
          </wp:inline>
        </w:drawing>
      </w:r>
    </w:p>
    <w:p w14:paraId="73A00BC2">
      <w:pPr>
        <w:pStyle w:val="56"/>
        <w:ind w:firstLine="422"/>
        <w:jc w:val="center"/>
        <w:rPr>
          <w:b/>
          <w:bCs/>
        </w:rPr>
      </w:pPr>
      <w:r>
        <w:rPr>
          <w:rFonts w:hint="eastAsia"/>
          <w:b/>
          <w:bCs/>
        </w:rPr>
        <w:t>图</w:t>
      </w:r>
      <w:r>
        <w:rPr>
          <w:b/>
          <w:bCs/>
        </w:rPr>
        <w:t>A.1 含铜/含镍污泥利用工艺</w:t>
      </w:r>
    </w:p>
    <w:p w14:paraId="5DF0083D">
      <w:pPr>
        <w:pStyle w:val="56"/>
        <w:ind w:firstLine="420"/>
      </w:pPr>
      <w:r>
        <w:rPr>
          <w:rFonts w:hint="eastAsia"/>
        </w:rPr>
        <w:t>工</w:t>
      </w:r>
      <w:r>
        <w:t>艺2：含镍污泥经浆化预处理后，直接泵至浸出工序化学溶解</w:t>
      </w:r>
      <w:r>
        <w:rPr>
          <w:rFonts w:hint="eastAsia"/>
        </w:rPr>
        <w:t>，</w:t>
      </w:r>
      <w:r>
        <w:t>溶解后的料浆经固液分离，初步纯化后送萃取工序，分离</w:t>
      </w:r>
      <w:r>
        <w:rPr>
          <w:rFonts w:hint="eastAsia"/>
        </w:rPr>
        <w:t>、</w:t>
      </w:r>
      <w:r>
        <w:t>纯化、富集后制得高纯硫酸镍(或氯化镍)溶液，再与其他高纯物料混合后送合成工序反应﹐用于电池材料用前驱</w:t>
      </w:r>
      <w:r>
        <w:rPr>
          <w:rFonts w:hint="eastAsia"/>
        </w:rPr>
        <w:t>体</w:t>
      </w:r>
      <w:r>
        <w:t>。</w:t>
      </w:r>
    </w:p>
    <w:p w14:paraId="5C78E240">
      <w:pPr>
        <w:pStyle w:val="56"/>
        <w:ind w:firstLine="422"/>
        <w:rPr>
          <w:b/>
          <w:bCs/>
        </w:rPr>
      </w:pPr>
      <w:r>
        <w:rPr>
          <w:rFonts w:hint="eastAsia"/>
          <w:b/>
          <w:bCs/>
        </w:rPr>
        <w:t>A</w:t>
      </w:r>
      <w:r>
        <w:rPr>
          <w:b/>
          <w:bCs/>
        </w:rPr>
        <w:t xml:space="preserve">.2 </w:t>
      </w:r>
      <w:r>
        <w:rPr>
          <w:rFonts w:hint="eastAsia"/>
          <w:b/>
          <w:bCs/>
        </w:rPr>
        <w:t>含锌烟尘及废渣</w:t>
      </w:r>
    </w:p>
    <w:p w14:paraId="248CA624">
      <w:pPr>
        <w:pStyle w:val="56"/>
        <w:ind w:firstLine="420"/>
      </w:pPr>
      <w:r>
        <w:rPr>
          <w:rFonts w:hint="eastAsia"/>
        </w:rPr>
        <w:t>通过火法富集工艺</w:t>
      </w:r>
      <w:r>
        <w:t>，在高温状态下，使含锌烟尘与废渣中的低熔点﹑低沸点的金属及其化合物还原气化，再在烟气冷却过程中与氧结合形成含锌富集物，通过碱漂净化得到氧化锌粉及其副产物硫酸锌、碳酸锌等;或通过湿法提取工艺，经过预处理</w:t>
      </w:r>
      <w:r>
        <w:rPr>
          <w:rFonts w:hint="eastAsia"/>
        </w:rPr>
        <w:t>、</w:t>
      </w:r>
      <w:r>
        <w:t>浸出</w:t>
      </w:r>
      <w:r>
        <w:rPr>
          <w:rFonts w:hint="eastAsia"/>
        </w:rPr>
        <w:t>、</w:t>
      </w:r>
      <w:r>
        <w:t>净化除杂﹑萃取、电积工序回收锌，过程中回收铜、镉﹑钢、铋﹑锡等有价金属。见图A.2。</w:t>
      </w:r>
    </w:p>
    <w:p w14:paraId="42CE7457">
      <w:pPr>
        <w:pStyle w:val="56"/>
        <w:ind w:firstLine="420"/>
      </w:pPr>
      <w:r>
        <w:drawing>
          <wp:inline distT="0" distB="0" distL="0" distR="0">
            <wp:extent cx="5278120" cy="208216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8120" cy="2082165"/>
                    </a:xfrm>
                    <a:prstGeom prst="rect">
                      <a:avLst/>
                    </a:prstGeom>
                    <a:noFill/>
                    <a:ln>
                      <a:noFill/>
                    </a:ln>
                  </pic:spPr>
                </pic:pic>
              </a:graphicData>
            </a:graphic>
          </wp:inline>
        </w:drawing>
      </w:r>
    </w:p>
    <w:p w14:paraId="05520F77">
      <w:pPr>
        <w:pStyle w:val="56"/>
        <w:ind w:firstLine="422"/>
        <w:jc w:val="center"/>
        <w:rPr>
          <w:b/>
          <w:bCs/>
        </w:rPr>
      </w:pPr>
      <w:r>
        <w:rPr>
          <w:rFonts w:hint="eastAsia"/>
          <w:b/>
          <w:bCs/>
        </w:rPr>
        <w:t>图</w:t>
      </w:r>
      <w:r>
        <w:rPr>
          <w:b/>
          <w:bCs/>
        </w:rPr>
        <w:t>A.2 含锌烟尘废渣利用工艺</w:t>
      </w:r>
    </w:p>
    <w:p w14:paraId="38280440">
      <w:pPr>
        <w:pStyle w:val="56"/>
        <w:ind w:firstLine="422"/>
        <w:rPr>
          <w:b/>
          <w:bCs/>
        </w:rPr>
      </w:pPr>
      <w:bookmarkStart w:id="71" w:name="_Hlk160139214"/>
      <w:bookmarkEnd w:id="71"/>
      <w:r>
        <w:rPr>
          <w:rFonts w:hint="eastAsia"/>
          <w:b/>
          <w:bCs/>
        </w:rPr>
        <w:t>A</w:t>
      </w:r>
      <w:r>
        <w:rPr>
          <w:b/>
          <w:bCs/>
        </w:rPr>
        <w:t xml:space="preserve">.3 </w:t>
      </w:r>
      <w:r>
        <w:rPr>
          <w:rFonts w:hint="eastAsia"/>
          <w:b/>
          <w:bCs/>
        </w:rPr>
        <w:t>含锡废渣</w:t>
      </w:r>
    </w:p>
    <w:p w14:paraId="7237D1AE">
      <w:pPr>
        <w:pStyle w:val="56"/>
        <w:ind w:firstLine="420"/>
      </w:pPr>
      <w:r>
        <w:rPr>
          <w:rFonts w:hint="eastAsia"/>
        </w:rPr>
        <w:t>含锡废渣般通过电炉熔炼﹐并浇筑成锡板</w:t>
      </w:r>
      <w:r>
        <w:t>，然后电解得到品质较高的锡板﹐最后熔化结品得到高纯锡(99.9 %)。见图A.3。</w:t>
      </w:r>
    </w:p>
    <w:p w14:paraId="6273F685">
      <w:pPr>
        <w:pStyle w:val="56"/>
        <w:ind w:firstLine="420"/>
      </w:pPr>
      <w:r>
        <w:drawing>
          <wp:inline distT="0" distB="0" distL="0" distR="0">
            <wp:extent cx="5278120" cy="3441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8120" cy="344170"/>
                    </a:xfrm>
                    <a:prstGeom prst="rect">
                      <a:avLst/>
                    </a:prstGeom>
                    <a:noFill/>
                    <a:ln>
                      <a:noFill/>
                    </a:ln>
                  </pic:spPr>
                </pic:pic>
              </a:graphicData>
            </a:graphic>
          </wp:inline>
        </w:drawing>
      </w:r>
    </w:p>
    <w:p w14:paraId="15C54554">
      <w:pPr>
        <w:pStyle w:val="56"/>
        <w:ind w:firstLine="422"/>
        <w:jc w:val="center"/>
        <w:rPr>
          <w:b/>
          <w:bCs/>
        </w:rPr>
      </w:pPr>
      <w:r>
        <w:rPr>
          <w:rFonts w:hint="eastAsia"/>
          <w:b/>
          <w:bCs/>
        </w:rPr>
        <w:t>图</w:t>
      </w:r>
      <w:r>
        <w:rPr>
          <w:b/>
          <w:bCs/>
        </w:rPr>
        <w:t>A.3 含锡废渣利用工艺</w:t>
      </w:r>
    </w:p>
    <w:p w14:paraId="4C016867">
      <w:pPr>
        <w:pStyle w:val="56"/>
        <w:ind w:firstLine="422"/>
        <w:rPr>
          <w:b/>
          <w:bCs/>
        </w:rPr>
      </w:pPr>
      <w:r>
        <w:rPr>
          <w:rFonts w:hint="eastAsia"/>
          <w:b/>
          <w:bCs/>
        </w:rPr>
        <w:t>A</w:t>
      </w:r>
      <w:r>
        <w:rPr>
          <w:b/>
          <w:bCs/>
        </w:rPr>
        <w:t xml:space="preserve">.4 </w:t>
      </w:r>
      <w:r>
        <w:rPr>
          <w:rFonts w:hint="eastAsia"/>
          <w:b/>
          <w:bCs/>
        </w:rPr>
        <w:t>含铅废渣</w:t>
      </w:r>
    </w:p>
    <w:p w14:paraId="6D0F1CCB">
      <w:pPr>
        <w:pStyle w:val="56"/>
        <w:ind w:firstLine="420"/>
      </w:pPr>
      <w:r>
        <w:rPr>
          <w:rFonts w:hint="eastAsia"/>
        </w:rPr>
        <w:t>含铅废渣通过侧吹炉熔炼后得到和铅</w:t>
      </w:r>
      <w:r>
        <w:t>，进一步火法精炼后可制备高纯铅产品。见图A.4。</w:t>
      </w:r>
    </w:p>
    <w:p w14:paraId="77D08EBB">
      <w:pPr>
        <w:pStyle w:val="56"/>
        <w:ind w:firstLine="420"/>
      </w:pPr>
      <w:r>
        <w:drawing>
          <wp:inline distT="0" distB="0" distL="0" distR="0">
            <wp:extent cx="4526915" cy="380365"/>
            <wp:effectExtent l="0" t="0" r="6985"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26915" cy="380365"/>
                    </a:xfrm>
                    <a:prstGeom prst="rect">
                      <a:avLst/>
                    </a:prstGeom>
                    <a:noFill/>
                    <a:ln>
                      <a:noFill/>
                    </a:ln>
                  </pic:spPr>
                </pic:pic>
              </a:graphicData>
            </a:graphic>
          </wp:inline>
        </w:drawing>
      </w:r>
    </w:p>
    <w:p w14:paraId="170086DC">
      <w:pPr>
        <w:pStyle w:val="56"/>
        <w:ind w:firstLine="422"/>
        <w:jc w:val="center"/>
        <w:rPr>
          <w:b/>
          <w:bCs/>
        </w:rPr>
      </w:pPr>
      <w:r>
        <w:rPr>
          <w:rFonts w:hint="eastAsia"/>
          <w:b/>
          <w:bCs/>
        </w:rPr>
        <w:t>图</w:t>
      </w:r>
      <w:r>
        <w:rPr>
          <w:b/>
          <w:bCs/>
        </w:rPr>
        <w:t>A.4 含铅废渣利用工艺</w:t>
      </w:r>
    </w:p>
    <w:p w14:paraId="0A426132">
      <w:pPr>
        <w:pStyle w:val="56"/>
        <w:ind w:firstLine="422"/>
        <w:rPr>
          <w:b/>
          <w:bCs/>
        </w:rPr>
      </w:pPr>
      <w:r>
        <w:rPr>
          <w:b/>
          <w:bCs/>
        </w:rPr>
        <w:t>A.5含金/银贵金属残渣及污泥</w:t>
      </w:r>
    </w:p>
    <w:p w14:paraId="2F976247">
      <w:pPr>
        <w:pStyle w:val="56"/>
        <w:ind w:firstLine="420"/>
      </w:pPr>
      <w:r>
        <w:rPr>
          <w:rFonts w:hint="eastAsia"/>
        </w:rPr>
        <w:t>含金</w:t>
      </w:r>
      <w:r>
        <w:t>/银贵金属残渣及污泥﹐尤其是阳极泥，首先通过硫酸化焙烧，然后浸出金银，通过蚕化沉银分离金和银，氯化银沉淀用氨水溶解，然后水合</w:t>
      </w:r>
      <w:r>
        <w:rPr>
          <w:rFonts w:hint="eastAsia"/>
        </w:rPr>
        <w:t>肼</w:t>
      </w:r>
      <w:r>
        <w:t>还原，再通过电解得到银产品。而分金液通过亚硫酸钠还原后，再通过电解得到金产品。见图A.5。</w:t>
      </w:r>
    </w:p>
    <w:p w14:paraId="5DA21096">
      <w:pPr>
        <w:pStyle w:val="56"/>
        <w:ind w:firstLine="420"/>
      </w:pPr>
      <w:r>
        <w:drawing>
          <wp:inline distT="0" distB="0" distL="0" distR="0">
            <wp:extent cx="5278120" cy="83312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8120" cy="833120"/>
                    </a:xfrm>
                    <a:prstGeom prst="rect">
                      <a:avLst/>
                    </a:prstGeom>
                    <a:noFill/>
                    <a:ln>
                      <a:noFill/>
                    </a:ln>
                  </pic:spPr>
                </pic:pic>
              </a:graphicData>
            </a:graphic>
          </wp:inline>
        </w:drawing>
      </w:r>
    </w:p>
    <w:p w14:paraId="2D633FAE">
      <w:pPr>
        <w:pStyle w:val="56"/>
        <w:ind w:firstLine="422"/>
        <w:jc w:val="center"/>
        <w:rPr>
          <w:b/>
          <w:bCs/>
        </w:rPr>
      </w:pPr>
      <w:r>
        <w:rPr>
          <w:rFonts w:hint="eastAsia"/>
          <w:b/>
          <w:bCs/>
        </w:rPr>
        <w:t>图</w:t>
      </w:r>
      <w:r>
        <w:rPr>
          <w:b/>
          <w:bCs/>
        </w:rPr>
        <w:t>A.5 含金/银等贵金属残渣及污泥利用工艺</w:t>
      </w:r>
    </w:p>
    <w:p w14:paraId="538ED359">
      <w:pPr>
        <w:pStyle w:val="56"/>
        <w:ind w:firstLine="422"/>
        <w:rPr>
          <w:b/>
          <w:bCs/>
        </w:rPr>
      </w:pPr>
      <w:r>
        <w:rPr>
          <w:b/>
          <w:bCs/>
        </w:rPr>
        <w:t>A.6化学镀镍废液</w:t>
      </w:r>
    </w:p>
    <w:p w14:paraId="294ECEB5">
      <w:pPr>
        <w:pStyle w:val="56"/>
        <w:ind w:firstLine="420"/>
      </w:pPr>
      <w:r>
        <w:rPr>
          <w:rFonts w:hint="eastAsia"/>
        </w:rPr>
        <w:t>化学镀镍废液调节废液</w:t>
      </w:r>
      <w:r>
        <w:t>pH，过滤后进人离子交换，滤渣交出有资质单位处理。离子交换工序通过吸附﹑脱附过程用酸(稀硫酸)进行反冲洗再生得到硫酸镍溶液产品。见图A.6</w:t>
      </w:r>
      <w:r>
        <w:rPr>
          <w:rFonts w:hint="eastAsia"/>
        </w:rPr>
        <w:t>。</w:t>
      </w:r>
    </w:p>
    <w:p w14:paraId="4F5CB345">
      <w:pPr>
        <w:pStyle w:val="56"/>
        <w:ind w:firstLine="420"/>
      </w:pPr>
      <w:r>
        <w:drawing>
          <wp:inline distT="0" distB="0" distL="0" distR="0">
            <wp:extent cx="5278120" cy="12858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8120" cy="1285875"/>
                    </a:xfrm>
                    <a:prstGeom prst="rect">
                      <a:avLst/>
                    </a:prstGeom>
                    <a:noFill/>
                    <a:ln>
                      <a:noFill/>
                    </a:ln>
                  </pic:spPr>
                </pic:pic>
              </a:graphicData>
            </a:graphic>
          </wp:inline>
        </w:drawing>
      </w:r>
    </w:p>
    <w:p w14:paraId="32563CC7">
      <w:pPr>
        <w:pStyle w:val="56"/>
        <w:ind w:firstLine="422"/>
        <w:jc w:val="center"/>
        <w:rPr>
          <w:b/>
          <w:bCs/>
        </w:rPr>
      </w:pPr>
      <w:r>
        <w:rPr>
          <w:rFonts w:hint="eastAsia"/>
          <w:b/>
          <w:bCs/>
        </w:rPr>
        <w:t>图</w:t>
      </w:r>
      <w:r>
        <w:rPr>
          <w:b/>
          <w:bCs/>
        </w:rPr>
        <w:t>A.6 化学镀镍废液利用工艺</w:t>
      </w:r>
    </w:p>
    <w:p w14:paraId="3166688C">
      <w:pPr>
        <w:pStyle w:val="56"/>
        <w:ind w:firstLine="422"/>
        <w:rPr>
          <w:b/>
          <w:bCs/>
        </w:rPr>
      </w:pPr>
      <w:r>
        <w:rPr>
          <w:b/>
          <w:bCs/>
        </w:rPr>
        <w:t>A.7退锡废液</w:t>
      </w:r>
    </w:p>
    <w:p w14:paraId="40C59CEC">
      <w:pPr>
        <w:pStyle w:val="56"/>
        <w:ind w:firstLine="420"/>
      </w:pPr>
      <w:r>
        <w:rPr>
          <w:rFonts w:hint="eastAsia"/>
        </w:rPr>
        <w:t>印制线路板废退锡液用氨水或氢氧化钙调节</w:t>
      </w:r>
      <w:r>
        <w:t>pH值至约为</w:t>
      </w:r>
      <w:r>
        <w:rPr>
          <w:rFonts w:hint="eastAsia"/>
        </w:rPr>
        <w:t>2</w:t>
      </w:r>
      <w:r>
        <w:t>，沉降、过滤。所得滤渣主要为水合二氧化锡(锡泥)，锡泥经冶炼回收金属锡。滤液再继续用氨水或氢氧化钙调节pH</w:t>
      </w:r>
      <w:r>
        <w:rPr>
          <w:rFonts w:hint="eastAsia"/>
        </w:rPr>
        <w:t>、</w:t>
      </w:r>
      <w:r>
        <w:t>沉降、过滤。滤渣为碱式硝酸铜泥，冶炼回收铜。滤液经树脂净化除铜后﹐再深度净化除去其他重金属离子，蒸发浓缩得到硝酸铵或硝酸钙浓缩液。见图A.7。</w:t>
      </w:r>
    </w:p>
    <w:p w14:paraId="7821F04F">
      <w:pPr>
        <w:pStyle w:val="56"/>
        <w:ind w:firstLine="420"/>
      </w:pPr>
      <w:r>
        <w:drawing>
          <wp:inline distT="0" distB="0" distL="0" distR="0">
            <wp:extent cx="5278120" cy="175641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8120" cy="1756410"/>
                    </a:xfrm>
                    <a:prstGeom prst="rect">
                      <a:avLst/>
                    </a:prstGeom>
                    <a:noFill/>
                    <a:ln>
                      <a:noFill/>
                    </a:ln>
                  </pic:spPr>
                </pic:pic>
              </a:graphicData>
            </a:graphic>
          </wp:inline>
        </w:drawing>
      </w:r>
    </w:p>
    <w:p w14:paraId="490CFA17">
      <w:pPr>
        <w:pStyle w:val="56"/>
        <w:ind w:firstLine="422"/>
        <w:jc w:val="center"/>
        <w:rPr>
          <w:b/>
          <w:bCs/>
        </w:rPr>
      </w:pPr>
      <w:r>
        <w:rPr>
          <w:b/>
          <w:bCs/>
        </w:rPr>
        <w:t>A.7 退锡废液利用工艺</w:t>
      </w:r>
    </w:p>
    <w:p w14:paraId="11E313B5">
      <w:pPr>
        <w:pStyle w:val="56"/>
        <w:ind w:firstLine="422"/>
        <w:rPr>
          <w:b/>
          <w:bCs/>
        </w:rPr>
      </w:pPr>
      <w:r>
        <w:rPr>
          <w:b/>
          <w:bCs/>
        </w:rPr>
        <w:t>A.8含铜﹑镍表面处理污泥</w:t>
      </w:r>
    </w:p>
    <w:p w14:paraId="4F77C7F1">
      <w:pPr>
        <w:pStyle w:val="56"/>
        <w:ind w:firstLine="420"/>
      </w:pPr>
      <w:r>
        <w:rPr>
          <w:rFonts w:hint="eastAsia"/>
        </w:rPr>
        <w:t>按照一定的液固比进行浆化</w:t>
      </w:r>
      <w:r>
        <w:t>，酸浸后再将过滤洗涤后的渣进行浆化，再次酸浸，酸浸洗涤后碱化，最后再碱洗得到副产石膏。铜、等有价元素进人溶液，通过净化</w:t>
      </w:r>
      <w:r>
        <w:rPr>
          <w:rFonts w:hint="eastAsia"/>
        </w:rPr>
        <w:t>、</w:t>
      </w:r>
      <w:r>
        <w:t>除杂、萃取后得到金属化合物产品。见图A.8。</w:t>
      </w:r>
    </w:p>
    <w:p w14:paraId="413E4370">
      <w:pPr>
        <w:pStyle w:val="56"/>
        <w:ind w:firstLine="420"/>
      </w:pPr>
      <w:r>
        <w:drawing>
          <wp:inline distT="0" distB="0" distL="0" distR="0">
            <wp:extent cx="5278120" cy="246253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8120" cy="2462530"/>
                    </a:xfrm>
                    <a:prstGeom prst="rect">
                      <a:avLst/>
                    </a:prstGeom>
                    <a:noFill/>
                    <a:ln>
                      <a:noFill/>
                    </a:ln>
                  </pic:spPr>
                </pic:pic>
              </a:graphicData>
            </a:graphic>
          </wp:inline>
        </w:drawing>
      </w:r>
    </w:p>
    <w:p w14:paraId="0CAE0631">
      <w:pPr>
        <w:pStyle w:val="56"/>
        <w:ind w:firstLine="422"/>
        <w:jc w:val="center"/>
        <w:rPr>
          <w:b/>
          <w:bCs/>
        </w:rPr>
      </w:pPr>
      <w:r>
        <w:rPr>
          <w:rFonts w:hint="eastAsia"/>
          <w:b/>
          <w:bCs/>
        </w:rPr>
        <w:t>图</w:t>
      </w:r>
      <w:r>
        <w:rPr>
          <w:b/>
          <w:bCs/>
        </w:rPr>
        <w:t>A.8 含铜、镍表面处理污泥利用工艺</w:t>
      </w:r>
    </w:p>
    <w:p w14:paraId="0B304BDD">
      <w:pPr>
        <w:pStyle w:val="56"/>
        <w:ind w:firstLine="422"/>
        <w:rPr>
          <w:b/>
          <w:bCs/>
        </w:rPr>
      </w:pPr>
      <w:r>
        <w:rPr>
          <w:b/>
          <w:bCs/>
        </w:rPr>
        <w:t>A.9含镍/含</w:t>
      </w:r>
      <w:bookmarkStart w:id="72" w:name="_Hlk160139440"/>
      <w:r>
        <w:rPr>
          <w:b/>
          <w:bCs/>
        </w:rPr>
        <w:t>钴</w:t>
      </w:r>
      <w:bookmarkEnd w:id="72"/>
      <w:r>
        <w:rPr>
          <w:b/>
          <w:bCs/>
        </w:rPr>
        <w:t>锂离子电池废料</w:t>
      </w:r>
    </w:p>
    <w:p w14:paraId="56DB0A64">
      <w:pPr>
        <w:pStyle w:val="56"/>
        <w:ind w:firstLine="420"/>
      </w:pPr>
      <w:r>
        <w:rPr>
          <w:rFonts w:hint="eastAsia"/>
        </w:rPr>
        <w:t>含镍</w:t>
      </w:r>
      <w:r>
        <w:t>/含</w:t>
      </w:r>
      <w:r>
        <w:rPr>
          <w:rFonts w:hint="eastAsia"/>
        </w:rPr>
        <w:t>钴</w:t>
      </w:r>
      <w:r>
        <w:t>锂离子电池废料经选择性放电﹑热解工艺处理，通过破碎、分选得到含镍/含</w:t>
      </w:r>
      <w:r>
        <w:rPr>
          <w:rFonts w:hint="eastAsia"/>
        </w:rPr>
        <w:t>钴</w:t>
      </w:r>
      <w:r>
        <w:t>的电池电极材料粉料，经浸出、除杂、合成得到镍盐/钻盐，或镍钻化合物。见图A.9。</w:t>
      </w:r>
    </w:p>
    <w:p w14:paraId="2C2A8582">
      <w:pPr>
        <w:pStyle w:val="56"/>
        <w:ind w:firstLine="420"/>
      </w:pPr>
      <w:r>
        <w:drawing>
          <wp:inline distT="0" distB="0" distL="0" distR="0">
            <wp:extent cx="5278120" cy="8597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8120" cy="859790"/>
                    </a:xfrm>
                    <a:prstGeom prst="rect">
                      <a:avLst/>
                    </a:prstGeom>
                    <a:noFill/>
                    <a:ln>
                      <a:noFill/>
                    </a:ln>
                  </pic:spPr>
                </pic:pic>
              </a:graphicData>
            </a:graphic>
          </wp:inline>
        </w:drawing>
      </w:r>
    </w:p>
    <w:p w14:paraId="76508445">
      <w:pPr>
        <w:pStyle w:val="56"/>
        <w:ind w:firstLine="422"/>
        <w:jc w:val="center"/>
        <w:rPr>
          <w:b/>
          <w:bCs/>
        </w:rPr>
      </w:pPr>
      <w:r>
        <w:rPr>
          <w:rFonts w:hint="eastAsia"/>
          <w:b/>
          <w:bCs/>
        </w:rPr>
        <w:t>图</w:t>
      </w:r>
      <w:r>
        <w:rPr>
          <w:b/>
          <w:bCs/>
        </w:rPr>
        <w:t>A.9 含镍/含钴锂离子电池废料利用工艺</w:t>
      </w:r>
    </w:p>
    <w:bookmarkEnd w:id="69"/>
    <w:p w14:paraId="09EF462D">
      <w:pPr>
        <w:pStyle w:val="56"/>
        <w:ind w:firstLine="0" w:firstLineChars="0"/>
        <w:jc w:val="center"/>
      </w:pPr>
      <w:bookmarkStart w:id="73" w:name="BookMark8"/>
      <w:r>
        <w:drawing>
          <wp:inline distT="0" distB="0" distL="0" distR="0">
            <wp:extent cx="1485900" cy="317500"/>
            <wp:effectExtent l="0" t="0" r="0" b="6350"/>
            <wp:docPr id="30" name="图片 30"/>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3">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3"/>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7E5760">
    <w:pPr>
      <w:pStyle w:val="17"/>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C0372C">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ED94A">
    <w:pPr>
      <w:pStyle w:val="52"/>
    </w:pPr>
    <w:r>
      <w:fldChar w:fldCharType="begin"/>
    </w:r>
    <w:r>
      <w:instrText xml:space="preserve">PAGE   \* MERGEFORMAT</w:instrText>
    </w:r>
    <w:r>
      <w:fldChar w:fldCharType="separate"/>
    </w:r>
    <w:r>
      <w:rPr>
        <w:lang w:val="zh-CN"/>
      </w:rPr>
      <w:t>I</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D16222">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D66A8">
    <w:pPr>
      <w:pStyle w:val="18"/>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09D04A">
    <w:pPr>
      <w:pStyle w:val="61"/>
    </w:pPr>
    <w:r>
      <w:fldChar w:fldCharType="begin"/>
    </w:r>
    <w:r>
      <w:instrText xml:space="preserve"> STYLEREF  标准文件_文件编号  \* MERGEFORMAT </w:instrText>
    </w:r>
    <w:r>
      <w:fldChar w:fldCharType="separate"/>
    </w:r>
    <w:r>
      <w:t>DB 42/T 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B16D0C">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42/T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BAD447B"/>
    <w:multiLevelType w:val="multilevel"/>
    <w:tmpl w:val="2BAD447B"/>
    <w:lvl w:ilvl="0" w:tentative="0">
      <w:start w:val="1"/>
      <w:numFmt w:val="lowerLetter"/>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1">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2ECE552F"/>
    <w:multiLevelType w:val="multilevel"/>
    <w:tmpl w:val="2ECE552F"/>
    <w:lvl w:ilvl="0" w:tentative="0">
      <w:start w:val="1"/>
      <w:numFmt w:val="lowerLetter"/>
      <w:lvlText w:val="%1)"/>
      <w:lvlJc w:val="left"/>
      <w:pPr>
        <w:ind w:left="1291" w:hanging="440"/>
      </w:pPr>
    </w:lvl>
    <w:lvl w:ilvl="1" w:tentative="0">
      <w:start w:val="1"/>
      <w:numFmt w:val="lowerLetter"/>
      <w:lvlText w:val="%2)"/>
      <w:lvlJc w:val="left"/>
      <w:pPr>
        <w:ind w:left="1731" w:hanging="440"/>
      </w:pPr>
    </w:lvl>
    <w:lvl w:ilvl="2" w:tentative="0">
      <w:start w:val="1"/>
      <w:numFmt w:val="lowerRoman"/>
      <w:lvlText w:val="%3."/>
      <w:lvlJc w:val="right"/>
      <w:pPr>
        <w:ind w:left="2171" w:hanging="440"/>
      </w:pPr>
    </w:lvl>
    <w:lvl w:ilvl="3" w:tentative="0">
      <w:start w:val="1"/>
      <w:numFmt w:val="decimal"/>
      <w:lvlText w:val="%4."/>
      <w:lvlJc w:val="left"/>
      <w:pPr>
        <w:ind w:left="2611" w:hanging="440"/>
      </w:pPr>
    </w:lvl>
    <w:lvl w:ilvl="4" w:tentative="0">
      <w:start w:val="1"/>
      <w:numFmt w:val="lowerLetter"/>
      <w:lvlText w:val="%5)"/>
      <w:lvlJc w:val="left"/>
      <w:pPr>
        <w:ind w:left="3051" w:hanging="440"/>
      </w:pPr>
    </w:lvl>
    <w:lvl w:ilvl="5" w:tentative="0">
      <w:start w:val="1"/>
      <w:numFmt w:val="lowerRoman"/>
      <w:lvlText w:val="%6."/>
      <w:lvlJc w:val="right"/>
      <w:pPr>
        <w:ind w:left="3491" w:hanging="440"/>
      </w:pPr>
    </w:lvl>
    <w:lvl w:ilvl="6" w:tentative="0">
      <w:start w:val="1"/>
      <w:numFmt w:val="decimal"/>
      <w:lvlText w:val="%7."/>
      <w:lvlJc w:val="left"/>
      <w:pPr>
        <w:ind w:left="3931" w:hanging="440"/>
      </w:pPr>
    </w:lvl>
    <w:lvl w:ilvl="7" w:tentative="0">
      <w:start w:val="1"/>
      <w:numFmt w:val="lowerLetter"/>
      <w:lvlText w:val="%8)"/>
      <w:lvlJc w:val="left"/>
      <w:pPr>
        <w:ind w:left="4371" w:hanging="440"/>
      </w:pPr>
    </w:lvl>
    <w:lvl w:ilvl="8" w:tentative="0">
      <w:start w:val="1"/>
      <w:numFmt w:val="lowerRoman"/>
      <w:lvlText w:val="%9."/>
      <w:lvlJc w:val="right"/>
      <w:pPr>
        <w:ind w:left="4811" w:hanging="440"/>
      </w:pPr>
    </w:lvl>
  </w:abstractNum>
  <w:abstractNum w:abstractNumId="13">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435F642F"/>
    <w:multiLevelType w:val="multilevel"/>
    <w:tmpl w:val="435F642F"/>
    <w:lvl w:ilvl="0" w:tentative="0">
      <w:start w:val="1"/>
      <w:numFmt w:val="lowerLetter"/>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5">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6">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7">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8">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9">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20">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1">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2">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5E716778"/>
    <w:multiLevelType w:val="multilevel"/>
    <w:tmpl w:val="5E716778"/>
    <w:lvl w:ilvl="0" w:tentative="0">
      <w:start w:val="1"/>
      <w:numFmt w:val="lowerLetter"/>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24">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5">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6">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7">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8">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9">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0">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893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2">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3">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4">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31"/>
  </w:num>
  <w:num w:numId="3">
    <w:abstractNumId w:val="5"/>
  </w:num>
  <w:num w:numId="4">
    <w:abstractNumId w:val="27"/>
  </w:num>
  <w:num w:numId="5">
    <w:abstractNumId w:val="21"/>
  </w:num>
  <w:num w:numId="6">
    <w:abstractNumId w:val="16"/>
  </w:num>
  <w:num w:numId="7">
    <w:abstractNumId w:val="8"/>
  </w:num>
  <w:num w:numId="8">
    <w:abstractNumId w:val="3"/>
  </w:num>
  <w:num w:numId="9">
    <w:abstractNumId w:val="9"/>
  </w:num>
  <w:num w:numId="10">
    <w:abstractNumId w:val="19"/>
  </w:num>
  <w:num w:numId="11">
    <w:abstractNumId w:val="29"/>
  </w:num>
  <w:num w:numId="12">
    <w:abstractNumId w:val="13"/>
  </w:num>
  <w:num w:numId="13">
    <w:abstractNumId w:val="15"/>
  </w:num>
  <w:num w:numId="14">
    <w:abstractNumId w:val="7"/>
  </w:num>
  <w:num w:numId="15">
    <w:abstractNumId w:val="22"/>
  </w:num>
  <w:num w:numId="16">
    <w:abstractNumId w:val="25"/>
  </w:num>
  <w:num w:numId="17">
    <w:abstractNumId w:val="20"/>
  </w:num>
  <w:num w:numId="18">
    <w:abstractNumId w:val="33"/>
  </w:num>
  <w:num w:numId="19">
    <w:abstractNumId w:val="18"/>
  </w:num>
  <w:num w:numId="20">
    <w:abstractNumId w:val="1"/>
  </w:num>
  <w:num w:numId="21">
    <w:abstractNumId w:val="11"/>
  </w:num>
  <w:num w:numId="22">
    <w:abstractNumId w:val="34"/>
  </w:num>
  <w:num w:numId="23">
    <w:abstractNumId w:val="24"/>
  </w:num>
  <w:num w:numId="24">
    <w:abstractNumId w:val="6"/>
  </w:num>
  <w:num w:numId="25">
    <w:abstractNumId w:val="30"/>
  </w:num>
  <w:num w:numId="26">
    <w:abstractNumId w:val="32"/>
  </w:num>
  <w:num w:numId="27">
    <w:abstractNumId w:val="2"/>
  </w:num>
  <w:num w:numId="28">
    <w:abstractNumId w:val="4"/>
  </w:num>
  <w:num w:numId="29">
    <w:abstractNumId w:val="17"/>
  </w:num>
  <w:num w:numId="30">
    <w:abstractNumId w:val="28"/>
  </w:num>
  <w:num w:numId="31">
    <w:abstractNumId w:val="26"/>
  </w:num>
  <w:num w:numId="32">
    <w:abstractNumId w:val="14"/>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0"/>
  </w:num>
  <w:num w:numId="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attachedTemplate r:id="rId1"/>
  <w:documentProtection w:edit="forms" w:enforcement="1" w:cryptProviderType="rsaAES" w:cryptAlgorithmClass="hash" w:cryptAlgorithmType="typeAny" w:cryptAlgorithmSid="14" w:cryptSpinCount="100000" w:hash="HDmGn+QkAq8a3Ag0qzk+8dkXgJGbA5rb3aJ9ne585CHLuKNPMw2rwDelPYWMrkUEPl0Tn97oMeGkBaoTCCnlnQ==" w:salt="1Ssd2+YlUy7YTilTAAolHw=="/>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FlYjc1YTA5ZWE1MDNjZWYyZjgzNTNiYzkyNmJiMmIifQ=="/>
  </w:docVars>
  <w:rsids>
    <w:rsidRoot w:val="00E4145E"/>
    <w:rsid w:val="0000040A"/>
    <w:rsid w:val="00000A94"/>
    <w:rsid w:val="00001972"/>
    <w:rsid w:val="00001D9A"/>
    <w:rsid w:val="00007B3A"/>
    <w:rsid w:val="000107E0"/>
    <w:rsid w:val="00011FDE"/>
    <w:rsid w:val="00012FFD"/>
    <w:rsid w:val="00014162"/>
    <w:rsid w:val="00014340"/>
    <w:rsid w:val="00016A9C"/>
    <w:rsid w:val="00020255"/>
    <w:rsid w:val="00022184"/>
    <w:rsid w:val="00022762"/>
    <w:rsid w:val="000238E0"/>
    <w:rsid w:val="000249DB"/>
    <w:rsid w:val="0002595E"/>
    <w:rsid w:val="000303C3"/>
    <w:rsid w:val="000331D3"/>
    <w:rsid w:val="00034124"/>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4149"/>
    <w:rsid w:val="000644FC"/>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9E8"/>
    <w:rsid w:val="000B3CDA"/>
    <w:rsid w:val="000B6A0B"/>
    <w:rsid w:val="000C0F6C"/>
    <w:rsid w:val="000C11DB"/>
    <w:rsid w:val="000C1492"/>
    <w:rsid w:val="000C24A6"/>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68D0"/>
    <w:rsid w:val="0011711C"/>
    <w:rsid w:val="0012059C"/>
    <w:rsid w:val="00124E4F"/>
    <w:rsid w:val="001260B7"/>
    <w:rsid w:val="001265CB"/>
    <w:rsid w:val="001321C6"/>
    <w:rsid w:val="001325C4"/>
    <w:rsid w:val="00133010"/>
    <w:rsid w:val="001338EE"/>
    <w:rsid w:val="00133AAE"/>
    <w:rsid w:val="00135323"/>
    <w:rsid w:val="001356C4"/>
    <w:rsid w:val="00137BBF"/>
    <w:rsid w:val="00141114"/>
    <w:rsid w:val="00142969"/>
    <w:rsid w:val="001446C2"/>
    <w:rsid w:val="001457E7"/>
    <w:rsid w:val="00145D9D"/>
    <w:rsid w:val="00145EF8"/>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A6A49"/>
    <w:rsid w:val="001A6CD1"/>
    <w:rsid w:val="001B06E8"/>
    <w:rsid w:val="001B316C"/>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0BAB"/>
    <w:rsid w:val="001F143A"/>
    <w:rsid w:val="001F1605"/>
    <w:rsid w:val="001F2508"/>
    <w:rsid w:val="001F4816"/>
    <w:rsid w:val="001F4EE9"/>
    <w:rsid w:val="001F61F7"/>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BB5"/>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08C7"/>
    <w:rsid w:val="002A1260"/>
    <w:rsid w:val="002A1589"/>
    <w:rsid w:val="002A1608"/>
    <w:rsid w:val="002A2350"/>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B1D"/>
    <w:rsid w:val="002D4F1A"/>
    <w:rsid w:val="002D6EC6"/>
    <w:rsid w:val="002D79AC"/>
    <w:rsid w:val="002E039D"/>
    <w:rsid w:val="002E4D5A"/>
    <w:rsid w:val="002E6326"/>
    <w:rsid w:val="002F1EF7"/>
    <w:rsid w:val="002F30E0"/>
    <w:rsid w:val="002F35E4"/>
    <w:rsid w:val="002F3730"/>
    <w:rsid w:val="002F38E1"/>
    <w:rsid w:val="002F7AF6"/>
    <w:rsid w:val="00300E63"/>
    <w:rsid w:val="00302F5F"/>
    <w:rsid w:val="0030441D"/>
    <w:rsid w:val="00306063"/>
    <w:rsid w:val="00306D12"/>
    <w:rsid w:val="00312575"/>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266"/>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273C"/>
    <w:rsid w:val="003F3F08"/>
    <w:rsid w:val="003F49F1"/>
    <w:rsid w:val="003F6272"/>
    <w:rsid w:val="00400E72"/>
    <w:rsid w:val="00401400"/>
    <w:rsid w:val="004032BF"/>
    <w:rsid w:val="00404869"/>
    <w:rsid w:val="00405884"/>
    <w:rsid w:val="00407D39"/>
    <w:rsid w:val="0041477A"/>
    <w:rsid w:val="004167A3"/>
    <w:rsid w:val="00432DAA"/>
    <w:rsid w:val="00434305"/>
    <w:rsid w:val="00435DF7"/>
    <w:rsid w:val="0044083F"/>
    <w:rsid w:val="00441AE7"/>
    <w:rsid w:val="00445574"/>
    <w:rsid w:val="004467FB"/>
    <w:rsid w:val="0045018D"/>
    <w:rsid w:val="00450263"/>
    <w:rsid w:val="00452D6B"/>
    <w:rsid w:val="00454102"/>
    <w:rsid w:val="00454484"/>
    <w:rsid w:val="0045517B"/>
    <w:rsid w:val="00457F85"/>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A66B2"/>
    <w:rsid w:val="004B0272"/>
    <w:rsid w:val="004B2701"/>
    <w:rsid w:val="004B2E1B"/>
    <w:rsid w:val="004B3AA8"/>
    <w:rsid w:val="004B3E93"/>
    <w:rsid w:val="004C1FBC"/>
    <w:rsid w:val="004C3F1D"/>
    <w:rsid w:val="004C458D"/>
    <w:rsid w:val="004C7556"/>
    <w:rsid w:val="004C7E8B"/>
    <w:rsid w:val="004C7E9D"/>
    <w:rsid w:val="004C7F67"/>
    <w:rsid w:val="004D076D"/>
    <w:rsid w:val="004D0848"/>
    <w:rsid w:val="004D0EF1"/>
    <w:rsid w:val="004D2253"/>
    <w:rsid w:val="004D4406"/>
    <w:rsid w:val="004D6490"/>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4983"/>
    <w:rsid w:val="00606419"/>
    <w:rsid w:val="00607D29"/>
    <w:rsid w:val="00612952"/>
    <w:rsid w:val="00614CC1"/>
    <w:rsid w:val="00615A9D"/>
    <w:rsid w:val="00617387"/>
    <w:rsid w:val="006205D6"/>
    <w:rsid w:val="006252D8"/>
    <w:rsid w:val="006259BC"/>
    <w:rsid w:val="0062636B"/>
    <w:rsid w:val="00632182"/>
    <w:rsid w:val="00632AE0"/>
    <w:rsid w:val="00633582"/>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34B3"/>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6B0E"/>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963F2"/>
    <w:rsid w:val="007A0521"/>
    <w:rsid w:val="007A2E12"/>
    <w:rsid w:val="007A3475"/>
    <w:rsid w:val="007A41C8"/>
    <w:rsid w:val="007A54CE"/>
    <w:rsid w:val="007A5A9C"/>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5AF1"/>
    <w:rsid w:val="007D6518"/>
    <w:rsid w:val="007D76BD"/>
    <w:rsid w:val="007E0BF1"/>
    <w:rsid w:val="007F0ED8"/>
    <w:rsid w:val="007F0F63"/>
    <w:rsid w:val="007F1B49"/>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1CC0"/>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4966"/>
    <w:rsid w:val="00883F93"/>
    <w:rsid w:val="00884DB3"/>
    <w:rsid w:val="00885A9D"/>
    <w:rsid w:val="008864F6"/>
    <w:rsid w:val="0089049D"/>
    <w:rsid w:val="008928C9"/>
    <w:rsid w:val="008930CB"/>
    <w:rsid w:val="008938DC"/>
    <w:rsid w:val="00893FD1"/>
    <w:rsid w:val="00894836"/>
    <w:rsid w:val="00895172"/>
    <w:rsid w:val="00895680"/>
    <w:rsid w:val="0089671E"/>
    <w:rsid w:val="00896DFF"/>
    <w:rsid w:val="0089762C"/>
    <w:rsid w:val="008A1893"/>
    <w:rsid w:val="008A1DB9"/>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002"/>
    <w:rsid w:val="009062E6"/>
    <w:rsid w:val="009068DB"/>
    <w:rsid w:val="00911BE5"/>
    <w:rsid w:val="00913CA9"/>
    <w:rsid w:val="009145AE"/>
    <w:rsid w:val="009146CE"/>
    <w:rsid w:val="00914CA7"/>
    <w:rsid w:val="00915C3E"/>
    <w:rsid w:val="009161A8"/>
    <w:rsid w:val="00917101"/>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87715"/>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14E0"/>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34EA"/>
    <w:rsid w:val="00A0081B"/>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C40"/>
    <w:rsid w:val="00A55D50"/>
    <w:rsid w:val="00A57142"/>
    <w:rsid w:val="00A635DD"/>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1BA7"/>
    <w:rsid w:val="00AB2A18"/>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27DB"/>
    <w:rsid w:val="00B03271"/>
    <w:rsid w:val="00B03513"/>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08BF"/>
    <w:rsid w:val="00BE22F3"/>
    <w:rsid w:val="00BE5B52"/>
    <w:rsid w:val="00BE7B8D"/>
    <w:rsid w:val="00BF0993"/>
    <w:rsid w:val="00BF10A9"/>
    <w:rsid w:val="00BF1703"/>
    <w:rsid w:val="00BF231C"/>
    <w:rsid w:val="00BF51E5"/>
    <w:rsid w:val="00BF74A6"/>
    <w:rsid w:val="00C013AD"/>
    <w:rsid w:val="00C04904"/>
    <w:rsid w:val="00C056B3"/>
    <w:rsid w:val="00C0758C"/>
    <w:rsid w:val="00C103E5"/>
    <w:rsid w:val="00C13319"/>
    <w:rsid w:val="00C13EE9"/>
    <w:rsid w:val="00C21540"/>
    <w:rsid w:val="00C21906"/>
    <w:rsid w:val="00C21BFA"/>
    <w:rsid w:val="00C22148"/>
    <w:rsid w:val="00C249C2"/>
    <w:rsid w:val="00C24C8D"/>
    <w:rsid w:val="00C25FE2"/>
    <w:rsid w:val="00C26B53"/>
    <w:rsid w:val="00C279B2"/>
    <w:rsid w:val="00C33E50"/>
    <w:rsid w:val="00C34C20"/>
    <w:rsid w:val="00C35A3E"/>
    <w:rsid w:val="00C363C3"/>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49F"/>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28D8"/>
    <w:rsid w:val="00D0321C"/>
    <w:rsid w:val="00D035EC"/>
    <w:rsid w:val="00D0428E"/>
    <w:rsid w:val="00D0636D"/>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ACA"/>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0438"/>
    <w:rsid w:val="00E210B5"/>
    <w:rsid w:val="00E23D99"/>
    <w:rsid w:val="00E2552F"/>
    <w:rsid w:val="00E27E32"/>
    <w:rsid w:val="00E3137A"/>
    <w:rsid w:val="00E32CCF"/>
    <w:rsid w:val="00E34A98"/>
    <w:rsid w:val="00E35D1E"/>
    <w:rsid w:val="00E364F9"/>
    <w:rsid w:val="00E365FA"/>
    <w:rsid w:val="00E36789"/>
    <w:rsid w:val="00E4145E"/>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3E39"/>
    <w:rsid w:val="00E73F86"/>
    <w:rsid w:val="00E74C54"/>
    <w:rsid w:val="00E77A03"/>
    <w:rsid w:val="00E822E8"/>
    <w:rsid w:val="00E82554"/>
    <w:rsid w:val="00E82606"/>
    <w:rsid w:val="00E846C8"/>
    <w:rsid w:val="00E84957"/>
    <w:rsid w:val="00E84A55"/>
    <w:rsid w:val="00E85BFF"/>
    <w:rsid w:val="00E90391"/>
    <w:rsid w:val="00E904DE"/>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D304E"/>
    <w:rsid w:val="00EE0350"/>
    <w:rsid w:val="00EE0719"/>
    <w:rsid w:val="00EE0E80"/>
    <w:rsid w:val="00EE54A6"/>
    <w:rsid w:val="00EE613F"/>
    <w:rsid w:val="00EE7295"/>
    <w:rsid w:val="00EE7869"/>
    <w:rsid w:val="00EF054A"/>
    <w:rsid w:val="00EF3235"/>
    <w:rsid w:val="00EF7E72"/>
    <w:rsid w:val="00F01333"/>
    <w:rsid w:val="00F06D37"/>
    <w:rsid w:val="00F07B9D"/>
    <w:rsid w:val="00F11586"/>
    <w:rsid w:val="00F1183B"/>
    <w:rsid w:val="00F11C9F"/>
    <w:rsid w:val="00F12263"/>
    <w:rsid w:val="00F1409D"/>
    <w:rsid w:val="00F14214"/>
    <w:rsid w:val="00F15667"/>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2DEA"/>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872F9"/>
    <w:rsid w:val="00F90188"/>
    <w:rsid w:val="00F9108B"/>
    <w:rsid w:val="00F91349"/>
    <w:rsid w:val="00F92EF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B7318"/>
    <w:rsid w:val="00FC17B7"/>
    <w:rsid w:val="00FC2CB7"/>
    <w:rsid w:val="00FC4090"/>
    <w:rsid w:val="00FC55B4"/>
    <w:rsid w:val="00FD00E6"/>
    <w:rsid w:val="00FD09A1"/>
    <w:rsid w:val="00FD2A7C"/>
    <w:rsid w:val="00FD59EB"/>
    <w:rsid w:val="00FD6066"/>
    <w:rsid w:val="00FD7299"/>
    <w:rsid w:val="00FE1FBE"/>
    <w:rsid w:val="00FE3901"/>
    <w:rsid w:val="00FE39D3"/>
    <w:rsid w:val="00FE4BCE"/>
    <w:rsid w:val="00FE54AE"/>
    <w:rsid w:val="00FE576A"/>
    <w:rsid w:val="00FE6856"/>
    <w:rsid w:val="00FE7E79"/>
    <w:rsid w:val="00FF33D3"/>
    <w:rsid w:val="00FF3E7D"/>
    <w:rsid w:val="00FF5B99"/>
    <w:rsid w:val="00FF730C"/>
    <w:rsid w:val="00FF73F4"/>
    <w:rsid w:val="00FF7CE4"/>
    <w:rsid w:val="00FF7E39"/>
    <w:rsid w:val="142B4753"/>
    <w:rsid w:val="15B93488"/>
    <w:rsid w:val="2A580D71"/>
    <w:rsid w:val="494E19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autoRedefine/>
    <w:qFormat/>
    <w:uiPriority w:val="0"/>
    <w:rPr>
      <w:b/>
      <w:bCs/>
      <w:kern w:val="2"/>
      <w:sz w:val="28"/>
      <w:szCs w:val="28"/>
    </w:rPr>
  </w:style>
  <w:style w:type="character" w:customStyle="1" w:styleId="39">
    <w:name w:val="标题 6 字符"/>
    <w:link w:val="7"/>
    <w:autoRedefine/>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ind w:left="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frame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glossaryDocument" Target="glossary/document.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1.jpe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tiff"/><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04DC6CE5AF040E58AC78F0894BE3297"/>
        <w:style w:val=""/>
        <w:category>
          <w:name w:val="常规"/>
          <w:gallery w:val="placeholder"/>
        </w:category>
        <w:types>
          <w:type w:val="bbPlcHdr"/>
        </w:types>
        <w:behaviors>
          <w:behavior w:val="content"/>
        </w:behaviors>
        <w:description w:val=""/>
        <w:guid w:val="{8EF175E9-D798-4BFF-A64A-15FCF4B93AAE}"/>
      </w:docPartPr>
      <w:docPartBody>
        <w:p w14:paraId="1E154E46">
          <w:pPr>
            <w:pStyle w:val="5"/>
          </w:pPr>
          <w:r>
            <w:rPr>
              <w:rStyle w:val="4"/>
              <w:rFonts w:hint="eastAsia"/>
            </w:rPr>
            <w:t>单击或点击此处输入文字。</w:t>
          </w:r>
        </w:p>
      </w:docPartBody>
    </w:docPart>
    <w:docPart>
      <w:docPartPr>
        <w:name w:val="4DBECB421D104B97B4FBEAAA530B429E"/>
        <w:style w:val=""/>
        <w:category>
          <w:name w:val="常规"/>
          <w:gallery w:val="placeholder"/>
        </w:category>
        <w:types>
          <w:type w:val="bbPlcHdr"/>
        </w:types>
        <w:behaviors>
          <w:behavior w:val="content"/>
        </w:behaviors>
        <w:description w:val=""/>
        <w:guid w:val="{3A26ABBC-03F6-4F25-9656-969EB56C862B}"/>
      </w:docPartPr>
      <w:docPartBody>
        <w:p w14:paraId="1F2BE252">
          <w:pPr>
            <w:pStyle w:val="6"/>
          </w:pPr>
          <w:r>
            <w:rPr>
              <w:rStyle w:val="4"/>
              <w:rFonts w:hint="eastAsia"/>
            </w:rPr>
            <w:t>选择一项。</w:t>
          </w:r>
        </w:p>
      </w:docPartBody>
    </w:docPart>
    <w:docPart>
      <w:docPartPr>
        <w:name w:val="1E12C043F5854029BC699B06DC99F28F"/>
        <w:style w:val=""/>
        <w:category>
          <w:name w:val="常规"/>
          <w:gallery w:val="placeholder"/>
        </w:category>
        <w:types>
          <w:type w:val="bbPlcHdr"/>
        </w:types>
        <w:behaviors>
          <w:behavior w:val="content"/>
        </w:behaviors>
        <w:description w:val=""/>
        <w:guid w:val="{5F8C7374-F99F-4C0A-8091-3BBAD5FAAC99}"/>
      </w:docPartPr>
      <w:docPartBody>
        <w:p w14:paraId="7AFFB5E2">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7333"/>
    <w:rsid w:val="002101B5"/>
    <w:rsid w:val="00312575"/>
    <w:rsid w:val="00370E97"/>
    <w:rsid w:val="00401999"/>
    <w:rsid w:val="004B1FAE"/>
    <w:rsid w:val="004E24FA"/>
    <w:rsid w:val="008B77E3"/>
    <w:rsid w:val="009B320A"/>
    <w:rsid w:val="00A56E62"/>
    <w:rsid w:val="00AB480F"/>
    <w:rsid w:val="00AF7A57"/>
    <w:rsid w:val="00B538DF"/>
    <w:rsid w:val="00CA2C1F"/>
    <w:rsid w:val="00E02863"/>
    <w:rsid w:val="00F173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504DC6CE5AF040E58AC78F0894BE3297"/>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4DBECB421D104B97B4FBEAAA530B429E"/>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1E12C043F5854029BC699B06DC99F28F"/>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1C2CDCB-5DC2-4D43-A018-FE36F5DC8EE9}">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11</Pages>
  <Words>6162</Words>
  <Characters>6752</Characters>
  <Lines>63</Lines>
  <Paragraphs>17</Paragraphs>
  <TotalTime>0</TotalTime>
  <ScaleCrop>false</ScaleCrop>
  <LinksUpToDate>false</LinksUpToDate>
  <CharactersWithSpaces>6929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2025-08-21T21:22:00Z</dcterms:created>
  <dc:creator>gyb1</dc:creator>
  <dc:description>&lt;config cover="true" show_menu="true" version="1.0.0" doctype="SDKXY"&gt;_x000d_
&lt;/config&gt;</dc:description>
  <cp:lastModifiedBy>金海林</cp:lastModifiedBy>
  <cp:lastPrinted>2020-08-30T10:00:00Z</cp:lastPrinted>
  <dcterms:modified xsi:type="dcterms:W3CDTF">2025-08-29T02:54:00Z</dcterms:modified>
  <dc:title>地方标准</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2052-12.1.0.22529</vt:lpwstr>
  </property>
  <property fmtid="{D5CDD505-2E9C-101B-9397-08002B2CF9AE}" pid="15" name="ICV">
    <vt:lpwstr>C83EE3F3381940C7A1F648893E2146F6_12</vt:lpwstr>
  </property>
  <property fmtid="{D5CDD505-2E9C-101B-9397-08002B2CF9AE}" pid="16" name="KSOTemplateDocerSaveRecord">
    <vt:lpwstr>eyJoZGlkIjoiNWFlYjc1YTA5ZWE1MDNjZWYyZjgzNTNiYzkyNmJiMmIiLCJ1c2VySWQiOiI0NDYyODA2MzIifQ==</vt:lpwstr>
  </property>
</Properties>
</file>